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E1" w:rsidRPr="00865720" w:rsidRDefault="00FF7001" w:rsidP="00C2571E">
      <w:pPr>
        <w:spacing w:after="0"/>
        <w:ind w:left="2268"/>
        <w:rPr>
          <w:rFonts w:cs="Arial"/>
          <w:b/>
          <w:sz w:val="52"/>
          <w:szCs w:val="52"/>
        </w:rPr>
      </w:pPr>
      <w:r w:rsidRPr="00865720">
        <w:rPr>
          <w:rFonts w:cs="Arial"/>
          <w:b/>
          <w:i/>
          <w:noProof/>
          <w:sz w:val="52"/>
          <w:szCs w:val="52"/>
          <w:lang w:eastAsia="en-GB"/>
        </w:rPr>
        <w:drawing>
          <wp:anchor distT="0" distB="0" distL="114300" distR="114300" simplePos="0" relativeHeight="251657728" behindDoc="0" locked="0" layoutInCell="1" allowOverlap="1">
            <wp:simplePos x="0" y="0"/>
            <wp:positionH relativeFrom="column">
              <wp:posOffset>-17780</wp:posOffset>
            </wp:positionH>
            <wp:positionV relativeFrom="paragraph">
              <wp:posOffset>-168275</wp:posOffset>
            </wp:positionV>
            <wp:extent cx="708660" cy="7073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EE1" w:rsidRPr="00865720">
        <w:rPr>
          <w:rFonts w:cs="Arial"/>
          <w:b/>
          <w:sz w:val="52"/>
          <w:szCs w:val="52"/>
        </w:rPr>
        <w:t xml:space="preserve">Accounting Guidance Notes: </w:t>
      </w:r>
      <w:r w:rsidR="005E5EE1" w:rsidRPr="00865720">
        <w:rPr>
          <w:rFonts w:cs="Arial"/>
          <w:b/>
          <w:sz w:val="52"/>
          <w:szCs w:val="52"/>
        </w:rPr>
        <w:br/>
      </w:r>
      <w:r w:rsidR="00431FB5">
        <w:rPr>
          <w:rFonts w:cs="Arial"/>
          <w:b/>
          <w:sz w:val="52"/>
          <w:szCs w:val="52"/>
        </w:rPr>
        <w:t>Donations</w:t>
      </w:r>
      <w:bookmarkStart w:id="0" w:name="_GoBack"/>
      <w:bookmarkEnd w:id="0"/>
    </w:p>
    <w:p w:rsidR="00CC7224" w:rsidRDefault="00CC7224" w:rsidP="00C2571E">
      <w:pPr>
        <w:spacing w:after="0"/>
        <w:rPr>
          <w:b/>
          <w:bCs/>
          <w:iCs/>
          <w:sz w:val="28"/>
        </w:rPr>
      </w:pPr>
    </w:p>
    <w:p w:rsidR="00431FB5" w:rsidRDefault="00431FB5" w:rsidP="00C2571E">
      <w:pPr>
        <w:spacing w:after="0"/>
      </w:pPr>
    </w:p>
    <w:p w:rsidR="009D5985" w:rsidRDefault="009D5985" w:rsidP="00C2571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rsidRPr="004E48BA" w:rsidTr="005E5EE1">
        <w:tc>
          <w:tcPr>
            <w:tcW w:w="9846" w:type="dxa"/>
            <w:tcBorders>
              <w:top w:val="nil"/>
              <w:left w:val="nil"/>
              <w:bottom w:val="nil"/>
              <w:right w:val="nil"/>
            </w:tcBorders>
            <w:shd w:val="clear" w:color="auto" w:fill="D9D9D9"/>
          </w:tcPr>
          <w:p w:rsidR="00431FB5" w:rsidRPr="004E48BA" w:rsidRDefault="00431FB5" w:rsidP="00C2571E">
            <w:pPr>
              <w:pStyle w:val="Heading3"/>
              <w:spacing w:before="0" w:after="0"/>
              <w:rPr>
                <w:szCs w:val="22"/>
              </w:rPr>
            </w:pPr>
          </w:p>
          <w:p w:rsidR="004E48BA" w:rsidRDefault="00AC3EF3" w:rsidP="00C2571E">
            <w:pPr>
              <w:tabs>
                <w:tab w:val="clear" w:pos="576"/>
                <w:tab w:val="clear" w:pos="1728"/>
                <w:tab w:val="clear" w:pos="5760"/>
                <w:tab w:val="left" w:pos="1701"/>
                <w:tab w:val="left" w:pos="2268"/>
                <w:tab w:val="right" w:pos="9639"/>
              </w:tabs>
              <w:spacing w:after="0"/>
            </w:pPr>
            <w:r w:rsidRPr="004E48BA">
              <w:rPr>
                <w:b/>
                <w:szCs w:val="22"/>
              </w:rPr>
              <w:t>University Policy</w:t>
            </w:r>
            <w:r w:rsidRPr="004E48BA">
              <w:rPr>
                <w:sz w:val="28"/>
                <w:szCs w:val="28"/>
              </w:rPr>
              <w:br/>
            </w:r>
            <w:r w:rsidR="004E48BA" w:rsidRPr="00D03B4F">
              <w:t xml:space="preserve">Departments must comply with the University’s Financial Regulations regarding the acceptance of </w:t>
            </w:r>
            <w:proofErr w:type="gramStart"/>
            <w:r w:rsidR="004E48BA" w:rsidRPr="00D03B4F">
              <w:t>gifts which</w:t>
            </w:r>
            <w:proofErr w:type="gramEnd"/>
            <w:r w:rsidR="004E48BA" w:rsidRPr="00D03B4F">
              <w:t xml:space="preserve"> can be found on the website at: </w:t>
            </w:r>
            <w:hyperlink r:id="rId9" w:history="1">
              <w:r w:rsidR="004B60EF">
                <w:rPr>
                  <w:rStyle w:val="Hyperlink"/>
                </w:rPr>
                <w:t>https://finance.admin.ox.ac.uk/financial-regulations</w:t>
              </w:r>
            </w:hyperlink>
            <w:r w:rsidR="004E48BA" w:rsidRPr="00D03B4F">
              <w:t>.</w:t>
            </w:r>
          </w:p>
          <w:p w:rsidR="00B37526" w:rsidRDefault="00B37526" w:rsidP="00C2571E">
            <w:pPr>
              <w:tabs>
                <w:tab w:val="clear" w:pos="576"/>
                <w:tab w:val="clear" w:pos="1728"/>
                <w:tab w:val="clear" w:pos="5760"/>
                <w:tab w:val="left" w:pos="1701"/>
                <w:tab w:val="left" w:pos="2268"/>
                <w:tab w:val="right" w:pos="9639"/>
              </w:tabs>
              <w:spacing w:after="0"/>
            </w:pPr>
          </w:p>
          <w:p w:rsidR="00B37526" w:rsidRDefault="00B37526" w:rsidP="00C2571E">
            <w:pPr>
              <w:tabs>
                <w:tab w:val="clear" w:pos="576"/>
                <w:tab w:val="clear" w:pos="1728"/>
                <w:tab w:val="clear" w:pos="5760"/>
                <w:tab w:val="left" w:pos="1701"/>
                <w:tab w:val="left" w:pos="2268"/>
                <w:tab w:val="right" w:pos="9639"/>
              </w:tabs>
              <w:spacing w:after="0"/>
            </w:pPr>
            <w:r w:rsidRPr="00B37526">
              <w:t xml:space="preserve">All philanthropic donations to </w:t>
            </w:r>
            <w:r>
              <w:t xml:space="preserve">the </w:t>
            </w:r>
            <w:r w:rsidRPr="00B37526">
              <w:t xml:space="preserve">University must be channelled via </w:t>
            </w:r>
            <w:r>
              <w:t xml:space="preserve">the </w:t>
            </w:r>
            <w:r w:rsidRPr="00B37526">
              <w:t>Gift Registry, who operate a separate bank account in the name of Oxford University Development Trust (OUDT), set up to receive all philanthropic donations.</w:t>
            </w:r>
          </w:p>
          <w:p w:rsidR="00B37526" w:rsidRDefault="00B37526" w:rsidP="00C2571E">
            <w:pPr>
              <w:tabs>
                <w:tab w:val="clear" w:pos="576"/>
                <w:tab w:val="clear" w:pos="1728"/>
                <w:tab w:val="clear" w:pos="5760"/>
                <w:tab w:val="left" w:pos="1701"/>
                <w:tab w:val="left" w:pos="2268"/>
                <w:tab w:val="right" w:pos="9639"/>
              </w:tabs>
              <w:spacing w:after="0"/>
            </w:pPr>
          </w:p>
          <w:p w:rsidR="00B37526" w:rsidRDefault="00B37526" w:rsidP="00C2571E">
            <w:pPr>
              <w:tabs>
                <w:tab w:val="clear" w:pos="576"/>
                <w:tab w:val="clear" w:pos="1728"/>
                <w:tab w:val="clear" w:pos="5760"/>
                <w:tab w:val="left" w:pos="1701"/>
                <w:tab w:val="left" w:pos="2268"/>
                <w:tab w:val="right" w:pos="9639"/>
              </w:tabs>
              <w:spacing w:after="0"/>
            </w:pPr>
            <w:r>
              <w:t xml:space="preserve">The </w:t>
            </w:r>
            <w:r w:rsidRPr="00B37526">
              <w:t xml:space="preserve">Gift Registry </w:t>
            </w:r>
            <w:proofErr w:type="gramStart"/>
            <w:r w:rsidRPr="00B37526">
              <w:t>must be notified</w:t>
            </w:r>
            <w:proofErr w:type="gramEnd"/>
            <w:r w:rsidRPr="00B37526">
              <w:t xml:space="preserve"> of all philanthropic gifts, including non-cash gifts. As well as recording donations, the Gift Registry will claim gift aid and ensure that the best exchange rate </w:t>
            </w:r>
            <w:proofErr w:type="gramStart"/>
            <w:r w:rsidRPr="00B37526">
              <w:t>is achieved</w:t>
            </w:r>
            <w:proofErr w:type="gramEnd"/>
            <w:r w:rsidRPr="00B37526">
              <w:t xml:space="preserve"> for foreign currency gifts, thereby maximising income to the department.</w:t>
            </w:r>
          </w:p>
          <w:p w:rsidR="004E48BA" w:rsidRPr="00D03B4F" w:rsidRDefault="004E48BA" w:rsidP="00C2571E">
            <w:pPr>
              <w:tabs>
                <w:tab w:val="clear" w:pos="576"/>
                <w:tab w:val="clear" w:pos="1728"/>
                <w:tab w:val="clear" w:pos="5760"/>
                <w:tab w:val="left" w:pos="1701"/>
                <w:tab w:val="left" w:pos="2268"/>
                <w:tab w:val="right" w:pos="9639"/>
              </w:tabs>
              <w:spacing w:after="0"/>
              <w:rPr>
                <w:u w:val="single"/>
              </w:rPr>
            </w:pPr>
          </w:p>
          <w:p w:rsidR="004E48BA" w:rsidRPr="00D03B4F" w:rsidRDefault="004E48BA" w:rsidP="00C2571E">
            <w:pPr>
              <w:tabs>
                <w:tab w:val="clear" w:pos="576"/>
                <w:tab w:val="clear" w:pos="1728"/>
                <w:tab w:val="clear" w:pos="5760"/>
                <w:tab w:val="left" w:pos="1701"/>
                <w:tab w:val="left" w:pos="2268"/>
                <w:tab w:val="right" w:pos="9639"/>
              </w:tabs>
              <w:spacing w:after="0"/>
              <w:rPr>
                <w:rFonts w:cs="Arial"/>
              </w:rPr>
            </w:pPr>
            <w:r w:rsidRPr="00D03B4F">
              <w:rPr>
                <w:rFonts w:cs="Arial"/>
              </w:rPr>
              <w:t xml:space="preserve">Any donation that a department believes should be </w:t>
            </w:r>
            <w:proofErr w:type="gramStart"/>
            <w:r w:rsidRPr="00D03B4F">
              <w:rPr>
                <w:rFonts w:cs="Arial"/>
              </w:rPr>
              <w:t>classified</w:t>
            </w:r>
            <w:proofErr w:type="gramEnd"/>
            <w:r w:rsidRPr="00D03B4F">
              <w:rPr>
                <w:rFonts w:cs="Arial"/>
              </w:rPr>
              <w:t xml:space="preserve"> as ‘research income’ must be checked and endorsed by Research Services and entered as a project on the Projects module.</w:t>
            </w:r>
            <w:r w:rsidR="00B37526" w:rsidRPr="00961118">
              <w:rPr>
                <w:rFonts w:cs="Arial"/>
                <w:highlight w:val="yellow"/>
              </w:rPr>
              <w:t xml:space="preserve"> </w:t>
            </w:r>
            <w:r w:rsidR="00B37526" w:rsidRPr="00B37526">
              <w:rPr>
                <w:rFonts w:cs="Arial"/>
              </w:rPr>
              <w:t xml:space="preserve">Those gifts </w:t>
            </w:r>
            <w:proofErr w:type="gramStart"/>
            <w:r w:rsidR="00B37526" w:rsidRPr="00B37526">
              <w:t>should be managed</w:t>
            </w:r>
            <w:proofErr w:type="gramEnd"/>
            <w:r w:rsidR="00B37526" w:rsidRPr="00B37526">
              <w:t xml:space="preserve"> in accordance with the </w:t>
            </w:r>
            <w:hyperlink r:id="rId10" w:history="1">
              <w:r w:rsidR="00B37526" w:rsidRPr="00B37526">
                <w:rPr>
                  <w:rStyle w:val="Hyperlink"/>
                </w:rPr>
                <w:t>Guidelines on Gifts (Donations) for Research</w:t>
              </w:r>
            </w:hyperlink>
            <w:r w:rsidR="00B37526" w:rsidRPr="00B37526">
              <w:t>.</w:t>
            </w:r>
            <w:r>
              <w:rPr>
                <w:rFonts w:cs="Arial"/>
              </w:rPr>
              <w:br/>
            </w:r>
          </w:p>
          <w:p w:rsidR="004E48BA" w:rsidRPr="00D03B4F" w:rsidRDefault="004E48BA" w:rsidP="00C2571E">
            <w:pPr>
              <w:tabs>
                <w:tab w:val="clear" w:pos="576"/>
                <w:tab w:val="clear" w:pos="1728"/>
                <w:tab w:val="clear" w:pos="5760"/>
                <w:tab w:val="left" w:pos="1701"/>
                <w:tab w:val="left" w:pos="2268"/>
                <w:tab w:val="right" w:pos="9639"/>
              </w:tabs>
              <w:spacing w:after="0"/>
              <w:rPr>
                <w:rFonts w:cs="Arial"/>
              </w:rPr>
            </w:pPr>
            <w:r w:rsidRPr="00D03B4F">
              <w:rPr>
                <w:rFonts w:cs="Arial"/>
              </w:rPr>
              <w:t xml:space="preserve">In principle all donations are treated as being for </w:t>
            </w:r>
            <w:r w:rsidRPr="00D03B4F">
              <w:rPr>
                <w:rFonts w:cs="Arial"/>
                <w:iCs/>
              </w:rPr>
              <w:t>general purposes</w:t>
            </w:r>
            <w:r w:rsidRPr="00D03B4F">
              <w:rPr>
                <w:rFonts w:cs="Arial"/>
              </w:rPr>
              <w:t xml:space="preserve"> and credited to the departmental accounts unless there is evidence that the donation is </w:t>
            </w:r>
            <w:r w:rsidRPr="00D03B4F">
              <w:rPr>
                <w:rFonts w:cs="Arial"/>
                <w:iCs/>
              </w:rPr>
              <w:t>restricted</w:t>
            </w:r>
            <w:r w:rsidRPr="00D03B4F">
              <w:rPr>
                <w:rFonts w:cs="Arial"/>
              </w:rPr>
              <w:t xml:space="preserve"> </w:t>
            </w:r>
            <w:r w:rsidRPr="00D03B4F">
              <w:rPr>
                <w:rFonts w:cs="Arial"/>
                <w:b/>
              </w:rPr>
              <w:t>and</w:t>
            </w:r>
            <w:r w:rsidRPr="00D03B4F">
              <w:rPr>
                <w:rFonts w:cs="Arial"/>
              </w:rPr>
              <w:t xml:space="preserve"> will not be spent before the financial year end in which the donation was received.</w:t>
            </w:r>
          </w:p>
          <w:p w:rsidR="004E48BA" w:rsidRDefault="004E48BA" w:rsidP="00C2571E">
            <w:pPr>
              <w:tabs>
                <w:tab w:val="clear" w:pos="576"/>
                <w:tab w:val="clear" w:pos="1728"/>
                <w:tab w:val="clear" w:pos="5760"/>
                <w:tab w:val="left" w:pos="1701"/>
                <w:tab w:val="left" w:pos="2268"/>
                <w:tab w:val="right" w:pos="9639"/>
              </w:tabs>
              <w:spacing w:after="0"/>
              <w:rPr>
                <w:rFonts w:cs="Arial"/>
              </w:rPr>
            </w:pPr>
            <w:r>
              <w:rPr>
                <w:rFonts w:cs="Arial"/>
              </w:rPr>
              <w:br/>
            </w:r>
            <w:r w:rsidR="00966E06">
              <w:rPr>
                <w:rFonts w:cs="Arial"/>
              </w:rPr>
              <w:t xml:space="preserve">From a departmental or management accounting perspective, </w:t>
            </w:r>
            <w:r w:rsidRPr="00D03B4F">
              <w:rPr>
                <w:rFonts w:cs="Arial"/>
              </w:rPr>
              <w:t xml:space="preserve">restricted donations that will be unspent at </w:t>
            </w:r>
            <w:r w:rsidR="00966E06">
              <w:rPr>
                <w:rFonts w:cs="Arial"/>
              </w:rPr>
              <w:t xml:space="preserve">the </w:t>
            </w:r>
            <w:r w:rsidRPr="00D03B4F">
              <w:rPr>
                <w:rFonts w:cs="Arial"/>
              </w:rPr>
              <w:t xml:space="preserve">financial </w:t>
            </w:r>
            <w:proofErr w:type="gramStart"/>
            <w:r w:rsidRPr="00D03B4F">
              <w:rPr>
                <w:rFonts w:cs="Arial"/>
              </w:rPr>
              <w:t>year end</w:t>
            </w:r>
            <w:proofErr w:type="gramEnd"/>
            <w:r w:rsidRPr="00D03B4F">
              <w:rPr>
                <w:rFonts w:cs="Arial"/>
              </w:rPr>
              <w:t xml:space="preserve"> will be treated</w:t>
            </w:r>
            <w:r w:rsidR="00966E06">
              <w:rPr>
                <w:rFonts w:cs="Arial"/>
              </w:rPr>
              <w:t xml:space="preserve"> as a</w:t>
            </w:r>
            <w:r w:rsidRPr="00D03B4F">
              <w:rPr>
                <w:rFonts w:cs="Arial"/>
              </w:rPr>
              <w:t xml:space="preserve"> </w:t>
            </w:r>
            <w:r w:rsidRPr="00D03B4F">
              <w:rPr>
                <w:rFonts w:cs="Arial"/>
                <w:iCs/>
              </w:rPr>
              <w:t>deferred donatio</w:t>
            </w:r>
            <w:r w:rsidRPr="00D03B4F">
              <w:rPr>
                <w:rFonts w:cs="Arial"/>
              </w:rPr>
              <w:t>n</w:t>
            </w:r>
            <w:r w:rsidR="00966E06">
              <w:rPr>
                <w:rFonts w:cs="Arial"/>
              </w:rPr>
              <w:t xml:space="preserve"> and the unspent balance will be carried forward into the subsequent financial year</w:t>
            </w:r>
            <w:r w:rsidRPr="00D03B4F">
              <w:rPr>
                <w:rFonts w:cs="Arial"/>
              </w:rPr>
              <w:t>.</w:t>
            </w:r>
            <w:r w:rsidR="00966E06">
              <w:rPr>
                <w:rFonts w:cs="Arial"/>
              </w:rPr>
              <w:t xml:space="preserve"> The financial accounting treatment differ</w:t>
            </w:r>
            <w:r w:rsidR="00B63543">
              <w:rPr>
                <w:rFonts w:cs="Arial"/>
              </w:rPr>
              <w:t>s</w:t>
            </w:r>
            <w:r w:rsidR="00966E06">
              <w:rPr>
                <w:rFonts w:cs="Arial"/>
              </w:rPr>
              <w:t xml:space="preserve"> significantly from this approach but the necessary adjustments for the financial statements </w:t>
            </w:r>
            <w:proofErr w:type="gramStart"/>
            <w:r w:rsidR="00966E06">
              <w:rPr>
                <w:rFonts w:cs="Arial"/>
              </w:rPr>
              <w:t>will be accounted for</w:t>
            </w:r>
            <w:proofErr w:type="gramEnd"/>
            <w:r w:rsidR="00966E06">
              <w:rPr>
                <w:rFonts w:cs="Arial"/>
              </w:rPr>
              <w:t xml:space="preserve"> centrally.</w:t>
            </w:r>
          </w:p>
          <w:p w:rsidR="00AC3EF3" w:rsidRPr="004E48BA" w:rsidRDefault="00AC3EF3" w:rsidP="00C2571E">
            <w:pPr>
              <w:pStyle w:val="Heading3"/>
              <w:spacing w:before="0" w:after="0"/>
            </w:pPr>
          </w:p>
        </w:tc>
      </w:tr>
    </w:tbl>
    <w:p w:rsidR="00AC3EF3" w:rsidRPr="004E48BA" w:rsidRDefault="00AC3EF3" w:rsidP="00C2571E">
      <w:pPr>
        <w:pStyle w:val="Heading3"/>
        <w:spacing w:before="0" w:after="0"/>
      </w:pPr>
    </w:p>
    <w:p w:rsidR="000404B5" w:rsidRPr="000404B5" w:rsidRDefault="000404B5" w:rsidP="00C2571E">
      <w:pPr>
        <w:pStyle w:val="Heading3"/>
        <w:spacing w:before="0" w:after="0"/>
        <w:ind w:left="720" w:hanging="720"/>
        <w:rPr>
          <w:sz w:val="36"/>
          <w:szCs w:val="36"/>
        </w:rPr>
      </w:pPr>
      <w:r w:rsidRPr="000404B5">
        <w:rPr>
          <w:sz w:val="36"/>
          <w:szCs w:val="36"/>
        </w:rPr>
        <w:t>Defining Donation Type</w:t>
      </w:r>
    </w:p>
    <w:p w:rsidR="000404B5" w:rsidRDefault="000404B5" w:rsidP="00C2571E">
      <w:pPr>
        <w:pStyle w:val="Heading3"/>
        <w:spacing w:before="0" w:after="0"/>
        <w:ind w:left="720" w:hanging="720"/>
        <w:rPr>
          <w:sz w:val="28"/>
          <w:szCs w:val="28"/>
        </w:rPr>
      </w:pPr>
    </w:p>
    <w:p w:rsidR="00680E41" w:rsidRDefault="004E48BA" w:rsidP="00C2571E">
      <w:pPr>
        <w:pStyle w:val="Heading3"/>
        <w:spacing w:before="0" w:after="0"/>
        <w:ind w:left="720" w:hanging="720"/>
        <w:rPr>
          <w:bCs w:val="0"/>
        </w:rPr>
      </w:pPr>
      <w:r w:rsidRPr="000404B5">
        <w:rPr>
          <w:sz w:val="28"/>
          <w:szCs w:val="28"/>
        </w:rPr>
        <w:t>Restricted or unrestricted donations</w:t>
      </w:r>
    </w:p>
    <w:p w:rsidR="00D03B4F" w:rsidRPr="00D03B4F" w:rsidRDefault="00D03B4F" w:rsidP="00C2571E">
      <w:pPr>
        <w:tabs>
          <w:tab w:val="clear" w:pos="576"/>
          <w:tab w:val="clear" w:pos="1728"/>
          <w:tab w:val="clear" w:pos="5760"/>
          <w:tab w:val="left" w:pos="1701"/>
          <w:tab w:val="left" w:pos="2268"/>
          <w:tab w:val="right" w:pos="9639"/>
        </w:tabs>
        <w:spacing w:after="0"/>
        <w:rPr>
          <w:rFonts w:cs="Arial"/>
        </w:rPr>
      </w:pPr>
      <w:r w:rsidRPr="00D03B4F">
        <w:rPr>
          <w:rFonts w:cs="Arial"/>
        </w:rPr>
        <w:t xml:space="preserve">Underlying the distinction between restricted and unrestricted donations is the concept of the general purposes of the University. The general purposes are teaching and research and, by extension, the provision of ancillary services such as the Bodleian Library, the museums and student support. Donations made available for the general purposes of a department, division or the University as a whole, </w:t>
      </w:r>
      <w:proofErr w:type="gramStart"/>
      <w:r w:rsidRPr="00D03B4F">
        <w:rPr>
          <w:rFonts w:cs="Arial"/>
        </w:rPr>
        <w:t>are treated</w:t>
      </w:r>
      <w:proofErr w:type="gramEnd"/>
      <w:r w:rsidRPr="00D03B4F">
        <w:rPr>
          <w:rFonts w:cs="Arial"/>
        </w:rPr>
        <w:t xml:space="preserve"> as unrestricted and taken directly to income. Unrestricted does not mean that a donation can be spent anywhere in the University, only that it is available for expenditure on general purposes.</w:t>
      </w:r>
      <w:r w:rsidR="004E48BA">
        <w:rPr>
          <w:rFonts w:cs="Arial"/>
        </w:rPr>
        <w:br/>
      </w:r>
    </w:p>
    <w:p w:rsidR="00D03B4F" w:rsidRPr="00D03B4F" w:rsidRDefault="00D03B4F" w:rsidP="00C2571E">
      <w:pPr>
        <w:tabs>
          <w:tab w:val="clear" w:pos="576"/>
          <w:tab w:val="clear" w:pos="1728"/>
          <w:tab w:val="clear" w:pos="5760"/>
          <w:tab w:val="left" w:pos="1701"/>
          <w:tab w:val="left" w:pos="2268"/>
          <w:tab w:val="right" w:pos="9639"/>
        </w:tabs>
        <w:spacing w:after="0"/>
        <w:rPr>
          <w:rFonts w:cs="Arial"/>
        </w:rPr>
      </w:pPr>
      <w:r w:rsidRPr="00D03B4F">
        <w:rPr>
          <w:rFonts w:cs="Arial"/>
        </w:rPr>
        <w:t xml:space="preserve">Donations that are not for general purposes are restricted. A donation </w:t>
      </w:r>
      <w:proofErr w:type="gramStart"/>
      <w:r w:rsidRPr="00D03B4F">
        <w:rPr>
          <w:rFonts w:cs="Arial"/>
        </w:rPr>
        <w:t>will be regarded</w:t>
      </w:r>
      <w:proofErr w:type="gramEnd"/>
      <w:r w:rsidRPr="00D03B4F">
        <w:rPr>
          <w:rFonts w:cs="Arial"/>
        </w:rPr>
        <w:t xml:space="preserve"> as being </w:t>
      </w:r>
      <w:r w:rsidRPr="00D03B4F">
        <w:rPr>
          <w:rFonts w:cs="Arial"/>
          <w:iCs/>
        </w:rPr>
        <w:t>restricted</w:t>
      </w:r>
      <w:r w:rsidRPr="00D03B4F">
        <w:rPr>
          <w:rFonts w:cs="Arial"/>
        </w:rPr>
        <w:t xml:space="preserve"> if:</w:t>
      </w:r>
      <w:r w:rsidR="004E48BA">
        <w:rPr>
          <w:rFonts w:cs="Arial"/>
        </w:rPr>
        <w:br/>
      </w:r>
    </w:p>
    <w:p w:rsidR="00D03B4F" w:rsidRPr="00D03B4F" w:rsidRDefault="004E48BA" w:rsidP="00C2571E">
      <w:pPr>
        <w:numPr>
          <w:ilvl w:val="0"/>
          <w:numId w:val="5"/>
        </w:numPr>
        <w:tabs>
          <w:tab w:val="clear" w:pos="576"/>
          <w:tab w:val="clear" w:pos="1152"/>
          <w:tab w:val="clear" w:pos="1728"/>
          <w:tab w:val="clear" w:pos="5760"/>
          <w:tab w:val="left" w:pos="993"/>
          <w:tab w:val="left" w:pos="2268"/>
          <w:tab w:val="right" w:pos="9639"/>
        </w:tabs>
        <w:spacing w:after="0"/>
        <w:ind w:left="993" w:hanging="284"/>
        <w:rPr>
          <w:rFonts w:cs="Arial"/>
        </w:rPr>
      </w:pPr>
      <w:r>
        <w:rPr>
          <w:rFonts w:cs="Arial"/>
        </w:rPr>
        <w:t>t</w:t>
      </w:r>
      <w:r w:rsidR="00D03B4F" w:rsidRPr="00D03B4F">
        <w:rPr>
          <w:rFonts w:cs="Arial"/>
        </w:rPr>
        <w:t xml:space="preserve">he donor sets out in writing the particular purpose for which the funds are to be used </w:t>
      </w:r>
      <w:r w:rsidR="00D03B4F" w:rsidRPr="00D03B4F">
        <w:rPr>
          <w:rFonts w:cs="Arial"/>
          <w:b/>
          <w:iCs/>
        </w:rPr>
        <w:t>and</w:t>
      </w:r>
      <w:r w:rsidR="00D03B4F" w:rsidRPr="00D03B4F">
        <w:rPr>
          <w:rFonts w:cs="Arial"/>
        </w:rPr>
        <w:t xml:space="preserve"> this is more restricted than the funds being made available for the general purposes of the University; </w:t>
      </w:r>
      <w:r w:rsidR="00D03B4F" w:rsidRPr="00D03B4F">
        <w:rPr>
          <w:rFonts w:cs="Arial"/>
          <w:iCs/>
        </w:rPr>
        <w:t>or</w:t>
      </w:r>
    </w:p>
    <w:p w:rsidR="00D03B4F" w:rsidRPr="00D03B4F" w:rsidRDefault="004E48BA" w:rsidP="00C2571E">
      <w:pPr>
        <w:numPr>
          <w:ilvl w:val="0"/>
          <w:numId w:val="5"/>
        </w:numPr>
        <w:tabs>
          <w:tab w:val="clear" w:pos="576"/>
          <w:tab w:val="clear" w:pos="1152"/>
          <w:tab w:val="clear" w:pos="1728"/>
          <w:tab w:val="clear" w:pos="5760"/>
          <w:tab w:val="left" w:pos="993"/>
          <w:tab w:val="left" w:pos="2268"/>
          <w:tab w:val="right" w:pos="9639"/>
        </w:tabs>
        <w:spacing w:after="0"/>
        <w:ind w:left="993" w:hanging="284"/>
        <w:rPr>
          <w:rFonts w:cs="Arial"/>
        </w:rPr>
      </w:pPr>
      <w:r>
        <w:rPr>
          <w:rFonts w:cs="Arial"/>
        </w:rPr>
        <w:lastRenderedPageBreak/>
        <w:t>t</w:t>
      </w:r>
      <w:r w:rsidR="00D03B4F" w:rsidRPr="00D03B4F">
        <w:rPr>
          <w:rFonts w:cs="Arial"/>
        </w:rPr>
        <w:t xml:space="preserve">he donation made is for a named member of staff </w:t>
      </w:r>
      <w:r w:rsidR="00083ADD">
        <w:rPr>
          <w:rFonts w:cs="Arial"/>
        </w:rPr>
        <w:t xml:space="preserve">(see note below) </w:t>
      </w:r>
      <w:r w:rsidR="00D03B4F" w:rsidRPr="00D03B4F">
        <w:rPr>
          <w:rFonts w:cs="Arial"/>
        </w:rPr>
        <w:t xml:space="preserve">or a sub-unit of a department as set out in writing by the donor; </w:t>
      </w:r>
      <w:r w:rsidR="00D03B4F" w:rsidRPr="00D03B4F">
        <w:rPr>
          <w:rFonts w:cs="Arial"/>
          <w:iCs/>
        </w:rPr>
        <w:t>or</w:t>
      </w:r>
    </w:p>
    <w:p w:rsidR="00D03B4F" w:rsidRPr="00D03B4F" w:rsidRDefault="004E48BA" w:rsidP="00C2571E">
      <w:pPr>
        <w:numPr>
          <w:ilvl w:val="0"/>
          <w:numId w:val="5"/>
        </w:numPr>
        <w:tabs>
          <w:tab w:val="clear" w:pos="576"/>
          <w:tab w:val="clear" w:pos="1152"/>
          <w:tab w:val="clear" w:pos="1728"/>
          <w:tab w:val="clear" w:pos="5760"/>
          <w:tab w:val="left" w:pos="993"/>
          <w:tab w:val="left" w:pos="2268"/>
          <w:tab w:val="right" w:pos="9639"/>
        </w:tabs>
        <w:spacing w:after="0"/>
        <w:ind w:left="993" w:hanging="284"/>
        <w:rPr>
          <w:rFonts w:cs="Arial"/>
        </w:rPr>
      </w:pPr>
      <w:proofErr w:type="gramStart"/>
      <w:r>
        <w:rPr>
          <w:rFonts w:cs="Arial"/>
        </w:rPr>
        <w:t>t</w:t>
      </w:r>
      <w:r w:rsidR="00D03B4F" w:rsidRPr="00D03B4F">
        <w:rPr>
          <w:rFonts w:cs="Arial"/>
        </w:rPr>
        <w:t>he</w:t>
      </w:r>
      <w:proofErr w:type="gramEnd"/>
      <w:r w:rsidR="00D03B4F" w:rsidRPr="00D03B4F">
        <w:rPr>
          <w:rFonts w:cs="Arial"/>
        </w:rPr>
        <w:t xml:space="preserve"> donation is, or is one element of a number of donations, made in response to a public appeal for donations to contribute towards a particular cause </w:t>
      </w:r>
      <w:r w:rsidR="00D03B4F" w:rsidRPr="00D03B4F">
        <w:rPr>
          <w:rFonts w:cs="Arial"/>
          <w:b/>
          <w:iCs/>
        </w:rPr>
        <w:t>and</w:t>
      </w:r>
      <w:r w:rsidR="00D03B4F" w:rsidRPr="00D03B4F">
        <w:rPr>
          <w:rFonts w:cs="Arial"/>
        </w:rPr>
        <w:t xml:space="preserve"> there is documentary evidence that such a public appeal has been made.</w:t>
      </w:r>
      <w:r>
        <w:rPr>
          <w:rFonts w:cs="Arial"/>
        </w:rPr>
        <w:br/>
      </w:r>
    </w:p>
    <w:p w:rsidR="00083ADD" w:rsidRDefault="00083ADD" w:rsidP="00C2571E">
      <w:pPr>
        <w:tabs>
          <w:tab w:val="clear" w:pos="576"/>
          <w:tab w:val="clear" w:pos="1152"/>
          <w:tab w:val="clear" w:pos="1728"/>
          <w:tab w:val="clear" w:pos="5760"/>
          <w:tab w:val="left" w:pos="2268"/>
          <w:tab w:val="right" w:pos="9639"/>
        </w:tabs>
        <w:spacing w:after="0"/>
        <w:rPr>
          <w:rFonts w:cs="Arial"/>
        </w:rPr>
      </w:pPr>
      <w:r>
        <w:rPr>
          <w:rFonts w:cs="Arial"/>
        </w:rPr>
        <w:t xml:space="preserve">Please note that where the donation has been made for a named member of staff, it will only be restricted if the donor has set out in writing the purpose on which the gift must be spent </w:t>
      </w:r>
      <w:r w:rsidRPr="00D03B4F">
        <w:rPr>
          <w:rFonts w:cs="Arial"/>
          <w:b/>
          <w:iCs/>
        </w:rPr>
        <w:t>and</w:t>
      </w:r>
      <w:r w:rsidRPr="00D03B4F">
        <w:rPr>
          <w:rFonts w:cs="Arial"/>
        </w:rPr>
        <w:t xml:space="preserve"> this is more restricted than the funds being made available for the general purposes of the University</w:t>
      </w:r>
      <w:r>
        <w:rPr>
          <w:rFonts w:cs="Arial"/>
        </w:rPr>
        <w:t>.</w:t>
      </w:r>
    </w:p>
    <w:p w:rsidR="00083ADD" w:rsidRDefault="00083ADD" w:rsidP="00C2571E">
      <w:pPr>
        <w:tabs>
          <w:tab w:val="clear" w:pos="576"/>
          <w:tab w:val="clear" w:pos="1152"/>
          <w:tab w:val="clear" w:pos="1728"/>
          <w:tab w:val="clear" w:pos="5760"/>
          <w:tab w:val="left" w:pos="2268"/>
          <w:tab w:val="right" w:pos="9639"/>
        </w:tabs>
        <w:spacing w:after="0"/>
        <w:rPr>
          <w:rFonts w:cs="Arial"/>
        </w:rPr>
      </w:pPr>
    </w:p>
    <w:p w:rsidR="00D03B4F" w:rsidRPr="00D03B4F" w:rsidRDefault="00C2571E" w:rsidP="00C2571E">
      <w:pPr>
        <w:tabs>
          <w:tab w:val="clear" w:pos="576"/>
          <w:tab w:val="clear" w:pos="1152"/>
          <w:tab w:val="clear" w:pos="1728"/>
          <w:tab w:val="clear" w:pos="5760"/>
          <w:tab w:val="left" w:pos="2268"/>
          <w:tab w:val="right" w:pos="9639"/>
        </w:tabs>
        <w:spacing w:after="0"/>
        <w:rPr>
          <w:rFonts w:cs="Arial"/>
        </w:rPr>
      </w:pPr>
      <w:r>
        <w:rPr>
          <w:rFonts w:cs="Arial"/>
        </w:rPr>
        <w:t xml:space="preserve">Any </w:t>
      </w:r>
      <w:r w:rsidR="00D03B4F" w:rsidRPr="00D03B4F">
        <w:rPr>
          <w:rFonts w:cs="Arial"/>
        </w:rPr>
        <w:t xml:space="preserve">donation </w:t>
      </w:r>
      <w:r>
        <w:rPr>
          <w:rFonts w:cs="Arial"/>
        </w:rPr>
        <w:t xml:space="preserve">which </w:t>
      </w:r>
      <w:r w:rsidR="00D03B4F" w:rsidRPr="00D03B4F">
        <w:rPr>
          <w:rFonts w:cs="Arial"/>
        </w:rPr>
        <w:t xml:space="preserve">falls below a de </w:t>
      </w:r>
      <w:proofErr w:type="spellStart"/>
      <w:r w:rsidR="00D03B4F" w:rsidRPr="00D03B4F">
        <w:rPr>
          <w:rFonts w:cs="Arial"/>
        </w:rPr>
        <w:t>minimis</w:t>
      </w:r>
      <w:proofErr w:type="spellEnd"/>
      <w:r w:rsidR="00D03B4F" w:rsidRPr="00D03B4F">
        <w:rPr>
          <w:rFonts w:cs="Arial"/>
        </w:rPr>
        <w:t xml:space="preserve"> level of £1</w:t>
      </w:r>
      <w:r w:rsidR="00D7756A">
        <w:rPr>
          <w:rFonts w:cs="Arial"/>
        </w:rPr>
        <w:t>0</w:t>
      </w:r>
      <w:r w:rsidR="00D03B4F" w:rsidRPr="00D03B4F">
        <w:rPr>
          <w:rFonts w:cs="Arial"/>
        </w:rPr>
        <w:t>,000, or can be spent within the financial year</w:t>
      </w:r>
      <w:r>
        <w:rPr>
          <w:rFonts w:cs="Arial"/>
        </w:rPr>
        <w:t xml:space="preserve">, will be accounted for as an </w:t>
      </w:r>
      <w:r w:rsidRPr="00D03B4F">
        <w:rPr>
          <w:rFonts w:cs="Arial"/>
          <w:b/>
          <w:iCs/>
        </w:rPr>
        <w:t>unrestricted</w:t>
      </w:r>
      <w:r w:rsidRPr="00D03B4F">
        <w:rPr>
          <w:rFonts w:cs="Arial"/>
        </w:rPr>
        <w:t xml:space="preserve"> </w:t>
      </w:r>
      <w:r>
        <w:rPr>
          <w:rFonts w:cs="Arial"/>
        </w:rPr>
        <w:t xml:space="preserve">gift </w:t>
      </w:r>
      <w:r w:rsidRPr="00D03B4F">
        <w:rPr>
          <w:rFonts w:cs="Arial"/>
        </w:rPr>
        <w:t>and credited to income</w:t>
      </w:r>
      <w:r>
        <w:rPr>
          <w:rFonts w:cs="Arial"/>
        </w:rPr>
        <w:t xml:space="preserve"> regardless of whether or not it meets the definition of a restricted gift.</w:t>
      </w:r>
      <w:r w:rsidR="004E48BA">
        <w:rPr>
          <w:rFonts w:cs="Arial"/>
        </w:rPr>
        <w:br/>
      </w:r>
    </w:p>
    <w:p w:rsidR="00D03B4F" w:rsidRDefault="00D03B4F" w:rsidP="00C2571E">
      <w:pPr>
        <w:tabs>
          <w:tab w:val="clear" w:pos="1728"/>
          <w:tab w:val="clear" w:pos="5760"/>
          <w:tab w:val="left" w:pos="1701"/>
          <w:tab w:val="left" w:pos="2268"/>
          <w:tab w:val="right" w:pos="9639"/>
        </w:tabs>
        <w:spacing w:after="0"/>
      </w:pPr>
      <w:r w:rsidRPr="00D03B4F">
        <w:t xml:space="preserve">If a restricted donation </w:t>
      </w:r>
      <w:proofErr w:type="gramStart"/>
      <w:r w:rsidRPr="00D03B4F">
        <w:t>is not separately identified</w:t>
      </w:r>
      <w:proofErr w:type="gramEnd"/>
      <w:r w:rsidRPr="00D03B4F">
        <w:t xml:space="preserve"> but is included within unrestricted donations:</w:t>
      </w:r>
    </w:p>
    <w:p w:rsidR="00851E8B" w:rsidRPr="00D03B4F" w:rsidRDefault="00851E8B" w:rsidP="00C2571E">
      <w:pPr>
        <w:tabs>
          <w:tab w:val="clear" w:pos="1728"/>
          <w:tab w:val="clear" w:pos="5760"/>
          <w:tab w:val="left" w:pos="1701"/>
          <w:tab w:val="left" w:pos="2268"/>
          <w:tab w:val="right" w:pos="9639"/>
        </w:tabs>
        <w:spacing w:after="0"/>
      </w:pPr>
    </w:p>
    <w:p w:rsidR="00D03B4F" w:rsidRPr="00D03B4F" w:rsidRDefault="00851E8B" w:rsidP="00C2571E">
      <w:pPr>
        <w:numPr>
          <w:ilvl w:val="0"/>
          <w:numId w:val="6"/>
        </w:numPr>
        <w:tabs>
          <w:tab w:val="clear" w:pos="576"/>
          <w:tab w:val="clear" w:pos="1152"/>
          <w:tab w:val="clear" w:pos="1728"/>
          <w:tab w:val="clear" w:pos="5760"/>
          <w:tab w:val="clear" w:pos="7877"/>
          <w:tab w:val="right" w:pos="993"/>
        </w:tabs>
        <w:spacing w:after="0"/>
        <w:ind w:left="993" w:hanging="284"/>
      </w:pPr>
      <w:proofErr w:type="gramStart"/>
      <w:r>
        <w:t>t</w:t>
      </w:r>
      <w:r w:rsidR="00D03B4F" w:rsidRPr="00D03B4F">
        <w:t>he</w:t>
      </w:r>
      <w:proofErr w:type="gramEnd"/>
      <w:r w:rsidR="00D03B4F" w:rsidRPr="00D03B4F">
        <w:t xml:space="preserve"> department’s income </w:t>
      </w:r>
      <w:r>
        <w:t>for the year will be overstated.</w:t>
      </w:r>
    </w:p>
    <w:p w:rsidR="00D03B4F" w:rsidRPr="00D03B4F" w:rsidRDefault="00851E8B" w:rsidP="00C2571E">
      <w:pPr>
        <w:numPr>
          <w:ilvl w:val="0"/>
          <w:numId w:val="6"/>
        </w:numPr>
        <w:tabs>
          <w:tab w:val="clear" w:pos="576"/>
          <w:tab w:val="clear" w:pos="1152"/>
          <w:tab w:val="clear" w:pos="1728"/>
          <w:tab w:val="clear" w:pos="5760"/>
          <w:tab w:val="clear" w:pos="7877"/>
          <w:tab w:val="right" w:pos="993"/>
        </w:tabs>
        <w:spacing w:after="0"/>
        <w:ind w:left="993" w:hanging="284"/>
      </w:pPr>
      <w:proofErr w:type="gramStart"/>
      <w:r>
        <w:t>i</w:t>
      </w:r>
      <w:r w:rsidR="00D03B4F" w:rsidRPr="00D03B4F">
        <w:t>n</w:t>
      </w:r>
      <w:proofErr w:type="gramEnd"/>
      <w:r w:rsidR="00D03B4F" w:rsidRPr="00D03B4F">
        <w:t xml:space="preserve"> future years, expenditure relating to the donation may be incurred but there will not be the revenue against which the spen</w:t>
      </w:r>
      <w:r>
        <w:t>d can be matched.</w:t>
      </w:r>
    </w:p>
    <w:p w:rsidR="00D03B4F" w:rsidRDefault="00851E8B" w:rsidP="00C2571E">
      <w:pPr>
        <w:numPr>
          <w:ilvl w:val="0"/>
          <w:numId w:val="6"/>
        </w:numPr>
        <w:tabs>
          <w:tab w:val="clear" w:pos="576"/>
          <w:tab w:val="clear" w:pos="1152"/>
          <w:tab w:val="clear" w:pos="1728"/>
          <w:tab w:val="clear" w:pos="5760"/>
          <w:tab w:val="clear" w:pos="7877"/>
          <w:tab w:val="right" w:pos="993"/>
        </w:tabs>
        <w:spacing w:after="0"/>
        <w:ind w:left="993" w:hanging="284"/>
      </w:pPr>
      <w:proofErr w:type="gramStart"/>
      <w:r>
        <w:t>t</w:t>
      </w:r>
      <w:r w:rsidR="00D03B4F" w:rsidRPr="00D03B4F">
        <w:t>here</w:t>
      </w:r>
      <w:proofErr w:type="gramEnd"/>
      <w:r w:rsidR="00D03B4F" w:rsidRPr="00D03B4F">
        <w:t xml:space="preserve"> may be difficulties identifying to the original donor how the funds have been used.</w:t>
      </w:r>
    </w:p>
    <w:p w:rsidR="00851E8B" w:rsidRPr="00D03B4F" w:rsidRDefault="00851E8B" w:rsidP="00C2571E">
      <w:pPr>
        <w:tabs>
          <w:tab w:val="clear" w:pos="576"/>
          <w:tab w:val="clear" w:pos="1152"/>
          <w:tab w:val="clear" w:pos="1728"/>
          <w:tab w:val="clear" w:pos="5760"/>
          <w:tab w:val="clear" w:pos="7877"/>
          <w:tab w:val="right" w:pos="993"/>
        </w:tabs>
        <w:spacing w:after="0"/>
        <w:ind w:left="993"/>
      </w:pPr>
    </w:p>
    <w:p w:rsidR="00D03B4F" w:rsidRPr="00D03B4F" w:rsidRDefault="00D03B4F" w:rsidP="00C2571E">
      <w:pPr>
        <w:tabs>
          <w:tab w:val="clear" w:pos="1728"/>
          <w:tab w:val="clear" w:pos="5760"/>
          <w:tab w:val="left" w:pos="1701"/>
          <w:tab w:val="left" w:pos="2268"/>
          <w:tab w:val="right" w:pos="9639"/>
        </w:tabs>
        <w:spacing w:after="0"/>
      </w:pPr>
      <w:r w:rsidRPr="00D03B4F">
        <w:t xml:space="preserve">If an unrestricted donation </w:t>
      </w:r>
      <w:proofErr w:type="gramStart"/>
      <w:r w:rsidRPr="00D03B4F">
        <w:t>is incorrectly identified</w:t>
      </w:r>
      <w:proofErr w:type="gramEnd"/>
      <w:r w:rsidRPr="00D03B4F">
        <w:t xml:space="preserve"> as a restricted donation:</w:t>
      </w:r>
    </w:p>
    <w:p w:rsidR="00851E8B" w:rsidRDefault="00851E8B" w:rsidP="00C2571E">
      <w:pPr>
        <w:tabs>
          <w:tab w:val="clear" w:pos="576"/>
          <w:tab w:val="clear" w:pos="1152"/>
          <w:tab w:val="num" w:pos="1134"/>
        </w:tabs>
        <w:spacing w:after="0"/>
        <w:ind w:left="1134" w:hanging="425"/>
      </w:pPr>
    </w:p>
    <w:p w:rsidR="00D03B4F" w:rsidRPr="00D03B4F" w:rsidRDefault="00851E8B" w:rsidP="00C2571E">
      <w:pPr>
        <w:numPr>
          <w:ilvl w:val="0"/>
          <w:numId w:val="6"/>
        </w:numPr>
        <w:tabs>
          <w:tab w:val="clear" w:pos="576"/>
          <w:tab w:val="clear" w:pos="1152"/>
          <w:tab w:val="clear" w:pos="1728"/>
          <w:tab w:val="clear" w:pos="5760"/>
          <w:tab w:val="clear" w:pos="7877"/>
          <w:tab w:val="right" w:pos="993"/>
        </w:tabs>
        <w:spacing w:after="0"/>
        <w:ind w:left="993" w:hanging="284"/>
      </w:pPr>
      <w:r>
        <w:t>t</w:t>
      </w:r>
      <w:r w:rsidR="00D03B4F" w:rsidRPr="00D03B4F">
        <w:t>he department’s income for the year will be understated;</w:t>
      </w:r>
    </w:p>
    <w:p w:rsidR="00D03B4F" w:rsidRDefault="00851E8B" w:rsidP="00C2571E">
      <w:pPr>
        <w:numPr>
          <w:ilvl w:val="0"/>
          <w:numId w:val="6"/>
        </w:numPr>
        <w:tabs>
          <w:tab w:val="clear" w:pos="576"/>
          <w:tab w:val="clear" w:pos="1152"/>
          <w:tab w:val="clear" w:pos="1728"/>
          <w:tab w:val="clear" w:pos="5760"/>
          <w:tab w:val="clear" w:pos="7877"/>
          <w:tab w:val="right" w:pos="993"/>
        </w:tabs>
        <w:spacing w:after="0"/>
        <w:ind w:left="993" w:hanging="284"/>
      </w:pPr>
      <w:proofErr w:type="gramStart"/>
      <w:r>
        <w:t>i</w:t>
      </w:r>
      <w:r w:rsidR="00D03B4F" w:rsidRPr="00D03B4F">
        <w:t>n</w:t>
      </w:r>
      <w:proofErr w:type="gramEnd"/>
      <w:r w:rsidR="00D03B4F" w:rsidRPr="00D03B4F">
        <w:t xml:space="preserve"> future years, the department’s income will be overstated.</w:t>
      </w:r>
    </w:p>
    <w:p w:rsidR="00851E8B" w:rsidRPr="00D03B4F" w:rsidRDefault="00851E8B" w:rsidP="00C2571E">
      <w:pPr>
        <w:tabs>
          <w:tab w:val="clear" w:pos="576"/>
          <w:tab w:val="clear" w:pos="1152"/>
        </w:tabs>
        <w:spacing w:after="0"/>
        <w:ind w:left="1429"/>
      </w:pPr>
    </w:p>
    <w:p w:rsidR="00D03B4F" w:rsidRPr="00FA4544" w:rsidRDefault="00C2571E" w:rsidP="00C2571E">
      <w:pPr>
        <w:pStyle w:val="Heading3"/>
        <w:rPr>
          <w:sz w:val="36"/>
          <w:szCs w:val="36"/>
        </w:rPr>
      </w:pPr>
      <w:r>
        <w:rPr>
          <w:sz w:val="36"/>
          <w:szCs w:val="36"/>
        </w:rPr>
        <w:t>Accounting for Restricted Donations</w:t>
      </w:r>
    </w:p>
    <w:p w:rsidR="00D03B4F" w:rsidRDefault="0095279E" w:rsidP="00C2571E">
      <w:pPr>
        <w:tabs>
          <w:tab w:val="clear" w:pos="576"/>
          <w:tab w:val="clear" w:pos="1152"/>
        </w:tabs>
        <w:spacing w:after="0"/>
      </w:pPr>
      <w:r>
        <w:t>I</w:t>
      </w:r>
      <w:r w:rsidR="00D03B4F" w:rsidRPr="00D03B4F">
        <w:t xml:space="preserve">dentify which donations should be categorised as restricted and of the restricted donations, those that </w:t>
      </w:r>
      <w:proofErr w:type="gramStart"/>
      <w:r w:rsidR="005B5A73">
        <w:t>will not be spent</w:t>
      </w:r>
      <w:proofErr w:type="gramEnd"/>
      <w:r w:rsidR="005B5A73">
        <w:t xml:space="preserve"> in full before the end of the financial year </w:t>
      </w:r>
      <w:r w:rsidR="005B5A73" w:rsidRPr="005B5A73">
        <w:rPr>
          <w:u w:val="single"/>
        </w:rPr>
        <w:t>and</w:t>
      </w:r>
      <w:r w:rsidR="005B5A73">
        <w:t xml:space="preserve"> </w:t>
      </w:r>
      <w:r w:rsidR="00D03B4F" w:rsidRPr="00D03B4F">
        <w:t>can be deferred according to the £1</w:t>
      </w:r>
      <w:r w:rsidR="00D7756A">
        <w:t>0</w:t>
      </w:r>
      <w:r w:rsidR="00D03B4F" w:rsidRPr="00D03B4F">
        <w:t xml:space="preserve">,000 </w:t>
      </w:r>
      <w:r w:rsidR="00D03B4F" w:rsidRPr="00D03B4F">
        <w:rPr>
          <w:rFonts w:cs="Arial"/>
        </w:rPr>
        <w:t xml:space="preserve">de </w:t>
      </w:r>
      <w:proofErr w:type="spellStart"/>
      <w:r w:rsidR="00D03B4F" w:rsidRPr="00D03B4F">
        <w:rPr>
          <w:rFonts w:cs="Arial"/>
        </w:rPr>
        <w:t>minimis</w:t>
      </w:r>
      <w:proofErr w:type="spellEnd"/>
      <w:r w:rsidR="00D03B4F" w:rsidRPr="00D03B4F">
        <w:t xml:space="preserve"> level referred to </w:t>
      </w:r>
      <w:r w:rsidR="005B5A73">
        <w:t>above</w:t>
      </w:r>
      <w:r w:rsidR="00D03B4F" w:rsidRPr="00D03B4F">
        <w:t>.</w:t>
      </w:r>
    </w:p>
    <w:p w:rsidR="00D816F7" w:rsidRDefault="00D816F7" w:rsidP="00C2571E">
      <w:pPr>
        <w:tabs>
          <w:tab w:val="clear" w:pos="576"/>
          <w:tab w:val="clear" w:pos="1152"/>
        </w:tabs>
        <w:spacing w:after="0"/>
      </w:pPr>
    </w:p>
    <w:p w:rsidR="00D816F7" w:rsidRDefault="00D816F7" w:rsidP="00C2571E">
      <w:pPr>
        <w:tabs>
          <w:tab w:val="clear" w:pos="576"/>
          <w:tab w:val="clear" w:pos="1152"/>
        </w:tabs>
        <w:spacing w:after="0"/>
      </w:pPr>
      <w:r w:rsidRPr="00D816F7">
        <w:t xml:space="preserve">Departments </w:t>
      </w:r>
      <w:r>
        <w:t xml:space="preserve">have </w:t>
      </w:r>
      <w:r w:rsidRPr="00D816F7">
        <w:t xml:space="preserve">the option of accounting for </w:t>
      </w:r>
      <w:r w:rsidR="00B720BC">
        <w:t>restricted</w:t>
      </w:r>
      <w:r w:rsidRPr="00D816F7">
        <w:t xml:space="preserve"> donations </w:t>
      </w:r>
      <w:r w:rsidR="001E0927">
        <w:t xml:space="preserve">either on the general ledger or </w:t>
      </w:r>
      <w:r w:rsidRPr="00D816F7">
        <w:t xml:space="preserve">on the projects module. </w:t>
      </w:r>
      <w:r>
        <w:t>A</w:t>
      </w:r>
      <w:r w:rsidRPr="00D816F7">
        <w:t xml:space="preserve"> </w:t>
      </w:r>
      <w:hyperlink r:id="rId11" w:history="1">
        <w:r w:rsidRPr="00D816F7">
          <w:rPr>
            <w:rStyle w:val="Hyperlink"/>
          </w:rPr>
          <w:t>decision tree</w:t>
        </w:r>
      </w:hyperlink>
      <w:r w:rsidRPr="00D816F7">
        <w:t xml:space="preserve"> </w:t>
      </w:r>
      <w:r>
        <w:t xml:space="preserve">is available on the Finance Division website to help decide if a donation is suitable to </w:t>
      </w:r>
      <w:proofErr w:type="gramStart"/>
      <w:r>
        <w:t>be accounted for</w:t>
      </w:r>
      <w:proofErr w:type="gramEnd"/>
      <w:r>
        <w:t xml:space="preserve"> on the projects module.</w:t>
      </w:r>
      <w:r w:rsidR="00C2571E">
        <w:t xml:space="preserve"> </w:t>
      </w:r>
      <w:r w:rsidR="00C2571E" w:rsidRPr="00C2571E">
        <w:t>Departments should advise (and/or consult) Gift Registry regarding the decision to account for the incoming donation, as Gift Registry can assist in routing your donation to the correct project.</w:t>
      </w:r>
    </w:p>
    <w:p w:rsidR="00D816F7" w:rsidRDefault="00D816F7" w:rsidP="00C2571E">
      <w:pPr>
        <w:tabs>
          <w:tab w:val="clear" w:pos="576"/>
          <w:tab w:val="clear" w:pos="1152"/>
        </w:tabs>
        <w:spacing w:after="0"/>
      </w:pPr>
    </w:p>
    <w:p w:rsidR="00D816F7" w:rsidRDefault="00B720BC" w:rsidP="00C2571E">
      <w:pPr>
        <w:tabs>
          <w:tab w:val="clear" w:pos="576"/>
          <w:tab w:val="clear" w:pos="1152"/>
        </w:tabs>
        <w:spacing w:after="0"/>
      </w:pPr>
      <w:r>
        <w:t xml:space="preserve">For donations accounted for in the </w:t>
      </w:r>
      <w:r w:rsidRPr="00B720BC">
        <w:rPr>
          <w:b/>
        </w:rPr>
        <w:t>general ledger</w:t>
      </w:r>
      <w:r>
        <w:t xml:space="preserve">, ensure the income </w:t>
      </w:r>
      <w:proofErr w:type="gramStart"/>
      <w:r>
        <w:t>is</w:t>
      </w:r>
      <w:r w:rsidR="00D816F7" w:rsidRPr="00D816F7">
        <w:t xml:space="preserve"> coded</w:t>
      </w:r>
      <w:proofErr w:type="gramEnd"/>
      <w:r w:rsidR="00D816F7" w:rsidRPr="00D816F7">
        <w:t xml:space="preserve"> to Natural Account 47110 and a Source of Funds code starting with “C”. The release of donation income deferred in previous years (to match expenditure) </w:t>
      </w:r>
      <w:proofErr w:type="gramStart"/>
      <w:r w:rsidR="00D816F7" w:rsidRPr="00D816F7">
        <w:t>is accounted for</w:t>
      </w:r>
      <w:proofErr w:type="gramEnd"/>
      <w:r w:rsidR="00D816F7" w:rsidRPr="00D816F7">
        <w:t xml:space="preserve"> on Natural Account 47111.</w:t>
      </w:r>
    </w:p>
    <w:p w:rsidR="00B720BC" w:rsidRDefault="00B720BC" w:rsidP="00C2571E">
      <w:pPr>
        <w:tabs>
          <w:tab w:val="clear" w:pos="576"/>
          <w:tab w:val="clear" w:pos="1152"/>
        </w:tabs>
        <w:spacing w:after="0"/>
      </w:pPr>
    </w:p>
    <w:p w:rsidR="00B720BC" w:rsidRDefault="00B720BC" w:rsidP="00C2571E">
      <w:pPr>
        <w:tabs>
          <w:tab w:val="clear" w:pos="576"/>
          <w:tab w:val="clear" w:pos="1152"/>
        </w:tabs>
        <w:spacing w:after="0"/>
      </w:pPr>
      <w:r>
        <w:t>For donations accounted for in the projects module, please refer to the guidance on</w:t>
      </w:r>
      <w:r w:rsidR="00CF4BD4">
        <w:t xml:space="preserve"> </w:t>
      </w:r>
      <w:hyperlink r:id="rId12" w:history="1">
        <w:r w:rsidR="00CF4BD4" w:rsidRPr="00CF4BD4">
          <w:rPr>
            <w:rStyle w:val="Hyperlink"/>
          </w:rPr>
          <w:t>Projects</w:t>
        </w:r>
      </w:hyperlink>
      <w:r>
        <w:t>.</w:t>
      </w:r>
    </w:p>
    <w:p w:rsidR="00D816F7" w:rsidRPr="00D03B4F" w:rsidRDefault="00D816F7" w:rsidP="00C2571E">
      <w:pPr>
        <w:tabs>
          <w:tab w:val="clear" w:pos="576"/>
          <w:tab w:val="clear" w:pos="1152"/>
        </w:tabs>
        <w:spacing w:after="0"/>
      </w:pPr>
    </w:p>
    <w:p w:rsidR="00D03B4F" w:rsidRDefault="00D03B4F" w:rsidP="00C2571E">
      <w:pPr>
        <w:tabs>
          <w:tab w:val="clear" w:pos="576"/>
          <w:tab w:val="clear" w:pos="1152"/>
        </w:tabs>
        <w:spacing w:after="0"/>
      </w:pPr>
      <w:r w:rsidRPr="00D03B4F">
        <w:t>For restricted donations</w:t>
      </w:r>
      <w:r w:rsidR="0095279E">
        <w:t>, ensure that</w:t>
      </w:r>
      <w:r w:rsidRPr="00D03B4F">
        <w:t>:</w:t>
      </w:r>
    </w:p>
    <w:p w:rsidR="009D5985" w:rsidRPr="00D03B4F" w:rsidRDefault="009D5985" w:rsidP="00C2571E">
      <w:pPr>
        <w:tabs>
          <w:tab w:val="clear" w:pos="576"/>
          <w:tab w:val="clear" w:pos="1152"/>
        </w:tabs>
        <w:spacing w:after="0"/>
      </w:pPr>
    </w:p>
    <w:p w:rsidR="00D03B4F" w:rsidRPr="0095279E" w:rsidRDefault="00D03B4F" w:rsidP="00C2571E">
      <w:pPr>
        <w:numPr>
          <w:ilvl w:val="0"/>
          <w:numId w:val="6"/>
        </w:numPr>
        <w:tabs>
          <w:tab w:val="clear" w:pos="576"/>
          <w:tab w:val="clear" w:pos="1152"/>
          <w:tab w:val="clear" w:pos="1728"/>
          <w:tab w:val="clear" w:pos="5760"/>
          <w:tab w:val="clear" w:pos="7877"/>
          <w:tab w:val="right" w:pos="993"/>
        </w:tabs>
        <w:spacing w:after="0"/>
        <w:ind w:left="993" w:hanging="284"/>
      </w:pPr>
      <w:r w:rsidRPr="0095279E">
        <w:t xml:space="preserve">each donation has a unique </w:t>
      </w:r>
      <w:r w:rsidR="005B5A73" w:rsidRPr="00D03B4F">
        <w:t>“</w:t>
      </w:r>
      <w:r w:rsidR="005B5A73" w:rsidRPr="00D03B4F">
        <w:rPr>
          <w:b/>
          <w:bCs/>
        </w:rPr>
        <w:t>C</w:t>
      </w:r>
      <w:r w:rsidR="005B5A73" w:rsidRPr="00D03B4F">
        <w:t>”</w:t>
      </w:r>
      <w:r w:rsidR="005B5A73">
        <w:t xml:space="preserve"> </w:t>
      </w:r>
      <w:r w:rsidRPr="0095279E">
        <w:t>Source of Funds code</w:t>
      </w:r>
      <w:r w:rsidR="00B720BC">
        <w:t xml:space="preserve"> or project code</w:t>
      </w:r>
      <w:r w:rsidRPr="0095279E">
        <w:t>;</w:t>
      </w:r>
    </w:p>
    <w:p w:rsidR="00D03B4F" w:rsidRPr="0095279E" w:rsidRDefault="00D03B4F" w:rsidP="00C2571E">
      <w:pPr>
        <w:numPr>
          <w:ilvl w:val="0"/>
          <w:numId w:val="6"/>
        </w:numPr>
        <w:tabs>
          <w:tab w:val="clear" w:pos="576"/>
          <w:tab w:val="clear" w:pos="1152"/>
          <w:tab w:val="clear" w:pos="1728"/>
          <w:tab w:val="clear" w:pos="5760"/>
          <w:tab w:val="clear" w:pos="7877"/>
          <w:tab w:val="right" w:pos="993"/>
        </w:tabs>
        <w:spacing w:after="0"/>
        <w:ind w:left="993" w:hanging="284"/>
      </w:pPr>
      <w:r w:rsidRPr="0095279E">
        <w:t>any expenditure to be charged against the donation is also coded to the same Source of Funds code</w:t>
      </w:r>
      <w:r w:rsidR="00B720BC">
        <w:t xml:space="preserve"> or project code</w:t>
      </w:r>
      <w:r w:rsidRPr="0095279E">
        <w:t>;</w:t>
      </w:r>
    </w:p>
    <w:p w:rsidR="00D03B4F" w:rsidRPr="0095279E" w:rsidRDefault="00D03B4F" w:rsidP="00C2571E">
      <w:pPr>
        <w:numPr>
          <w:ilvl w:val="0"/>
          <w:numId w:val="6"/>
        </w:numPr>
        <w:tabs>
          <w:tab w:val="clear" w:pos="576"/>
          <w:tab w:val="clear" w:pos="1152"/>
          <w:tab w:val="clear" w:pos="1728"/>
          <w:tab w:val="clear" w:pos="5760"/>
          <w:tab w:val="clear" w:pos="7877"/>
          <w:tab w:val="right" w:pos="993"/>
        </w:tabs>
        <w:spacing w:after="0"/>
        <w:ind w:left="993" w:hanging="284"/>
      </w:pPr>
      <w:r w:rsidRPr="0095279E">
        <w:t>all expenditure that can be charged against the donation has been, in preference to charging it against any general income available to the department;</w:t>
      </w:r>
    </w:p>
    <w:p w:rsidR="00D03B4F" w:rsidRPr="0095279E" w:rsidRDefault="00D03B4F" w:rsidP="00C2571E">
      <w:pPr>
        <w:numPr>
          <w:ilvl w:val="0"/>
          <w:numId w:val="6"/>
        </w:numPr>
        <w:tabs>
          <w:tab w:val="clear" w:pos="576"/>
          <w:tab w:val="clear" w:pos="1152"/>
          <w:tab w:val="clear" w:pos="1728"/>
          <w:tab w:val="clear" w:pos="5760"/>
          <w:tab w:val="clear" w:pos="7877"/>
          <w:tab w:val="right" w:pos="993"/>
        </w:tabs>
        <w:spacing w:after="0"/>
        <w:ind w:left="993" w:hanging="284"/>
      </w:pPr>
      <w:r w:rsidRPr="0095279E">
        <w:t>the expenditure charged does not exceed the amount of the donation;</w:t>
      </w:r>
    </w:p>
    <w:p w:rsidR="00D03B4F" w:rsidRPr="00D03B4F" w:rsidRDefault="00D03B4F" w:rsidP="00C2571E">
      <w:pPr>
        <w:numPr>
          <w:ilvl w:val="0"/>
          <w:numId w:val="6"/>
        </w:numPr>
        <w:tabs>
          <w:tab w:val="clear" w:pos="576"/>
          <w:tab w:val="clear" w:pos="1152"/>
          <w:tab w:val="clear" w:pos="1728"/>
          <w:tab w:val="clear" w:pos="5760"/>
          <w:tab w:val="clear" w:pos="7877"/>
          <w:tab w:val="right" w:pos="993"/>
        </w:tabs>
        <w:spacing w:after="0"/>
        <w:ind w:left="993" w:hanging="284"/>
      </w:pPr>
      <w:proofErr w:type="gramStart"/>
      <w:r w:rsidRPr="0095279E">
        <w:t>the</w:t>
      </w:r>
      <w:proofErr w:type="gramEnd"/>
      <w:r w:rsidRPr="0095279E">
        <w:t xml:space="preserve"> Financial Reporting Team has a copy of any relevant documentation showing that the donation should be classified as restricted, rather than unrestricted.</w:t>
      </w:r>
    </w:p>
    <w:p w:rsidR="0095279E" w:rsidRDefault="0095279E" w:rsidP="00C2571E">
      <w:pPr>
        <w:tabs>
          <w:tab w:val="clear" w:pos="576"/>
          <w:tab w:val="clear" w:pos="1152"/>
          <w:tab w:val="clear" w:pos="1728"/>
          <w:tab w:val="clear" w:pos="5760"/>
          <w:tab w:val="clear" w:pos="7877"/>
          <w:tab w:val="right" w:pos="993"/>
        </w:tabs>
        <w:spacing w:after="0"/>
      </w:pPr>
    </w:p>
    <w:p w:rsidR="00D03B4F" w:rsidRDefault="0095279E" w:rsidP="00C2571E">
      <w:pPr>
        <w:tabs>
          <w:tab w:val="clear" w:pos="576"/>
          <w:tab w:val="clear" w:pos="1152"/>
          <w:tab w:val="clear" w:pos="1728"/>
          <w:tab w:val="clear" w:pos="5760"/>
          <w:tab w:val="clear" w:pos="7877"/>
          <w:tab w:val="right" w:pos="993"/>
        </w:tabs>
        <w:spacing w:after="0"/>
      </w:pPr>
      <w:r>
        <w:lastRenderedPageBreak/>
        <w:t>Note: T</w:t>
      </w:r>
      <w:r w:rsidR="00D03B4F" w:rsidRPr="00D03B4F">
        <w:t>he evidence must be externally generated</w:t>
      </w:r>
      <w:r>
        <w:t xml:space="preserve">, </w:t>
      </w:r>
      <w:proofErr w:type="spellStart"/>
      <w:r w:rsidR="00D03B4F" w:rsidRPr="00D03B4F">
        <w:t>ie</w:t>
      </w:r>
      <w:proofErr w:type="spellEnd"/>
      <w:r w:rsidR="00D03B4F" w:rsidRPr="00D03B4F">
        <w:t xml:space="preserve"> a copy of documentation from the donor setting out the restricted purpose of the funds. An internal email or note will </w:t>
      </w:r>
      <w:r w:rsidR="00D03B4F" w:rsidRPr="0095279E">
        <w:t>not</w:t>
      </w:r>
      <w:r w:rsidR="00D03B4F" w:rsidRPr="00D03B4F">
        <w:t xml:space="preserve"> suffice. If there is no </w:t>
      </w:r>
      <w:r w:rsidR="00D03B4F" w:rsidRPr="0095279E">
        <w:rPr>
          <w:i/>
        </w:rPr>
        <w:t>prima facie</w:t>
      </w:r>
      <w:r w:rsidR="00D03B4F" w:rsidRPr="00D03B4F">
        <w:t xml:space="preserve"> external evidence, the donation </w:t>
      </w:r>
      <w:proofErr w:type="gramStart"/>
      <w:r w:rsidR="00D03B4F" w:rsidRPr="00D03B4F">
        <w:t>cannot be regarded</w:t>
      </w:r>
      <w:proofErr w:type="gramEnd"/>
      <w:r w:rsidR="00D03B4F" w:rsidRPr="00D03B4F">
        <w:t xml:space="preserve"> as restricted. If there is any uncertainty regarding the evidence, please </w:t>
      </w:r>
      <w:r w:rsidR="00D03B4F" w:rsidRPr="002F3BD9">
        <w:t>contact Financial Reporting</w:t>
      </w:r>
      <w:r w:rsidR="002F3BD9" w:rsidRPr="002F3BD9">
        <w:t xml:space="preserve"> </w:t>
      </w:r>
      <w:r w:rsidR="00A8069D">
        <w:t>(</w:t>
      </w:r>
      <w:hyperlink r:id="rId13" w:history="1">
        <w:r w:rsidR="00A8069D" w:rsidRPr="001E5FDE">
          <w:rPr>
            <w:rStyle w:val="Hyperlink"/>
          </w:rPr>
          <w:t>financial.reporting@admin.ox.ac.uk</w:t>
        </w:r>
      </w:hyperlink>
      <w:r w:rsidR="00A8069D">
        <w:t>).</w:t>
      </w:r>
      <w:r w:rsidR="002F3BD9">
        <w:t xml:space="preserve"> </w:t>
      </w:r>
    </w:p>
    <w:p w:rsidR="001E0927" w:rsidRPr="00D03B4F" w:rsidRDefault="001E0927" w:rsidP="00C2571E">
      <w:pPr>
        <w:tabs>
          <w:tab w:val="clear" w:pos="576"/>
          <w:tab w:val="clear" w:pos="1152"/>
          <w:tab w:val="clear" w:pos="1728"/>
          <w:tab w:val="clear" w:pos="5760"/>
          <w:tab w:val="clear" w:pos="7877"/>
          <w:tab w:val="right" w:pos="993"/>
        </w:tabs>
        <w:spacing w:after="0"/>
      </w:pPr>
    </w:p>
    <w:p w:rsidR="00C2571E" w:rsidRPr="00FA4544" w:rsidRDefault="00C2571E" w:rsidP="00C2571E">
      <w:pPr>
        <w:pStyle w:val="Heading3"/>
        <w:rPr>
          <w:sz w:val="36"/>
          <w:szCs w:val="36"/>
        </w:rPr>
      </w:pPr>
      <w:r w:rsidRPr="00FA4544">
        <w:rPr>
          <w:sz w:val="36"/>
          <w:szCs w:val="36"/>
        </w:rPr>
        <w:t>Re-Use of General Ledger Source of Funds Codes for New Donations</w:t>
      </w:r>
    </w:p>
    <w:p w:rsidR="00C2571E" w:rsidRDefault="00C2571E" w:rsidP="00C2571E">
      <w:pPr>
        <w:tabs>
          <w:tab w:val="clear" w:pos="576"/>
        </w:tabs>
        <w:spacing w:after="0"/>
      </w:pPr>
      <w:r w:rsidRPr="00D03B4F">
        <w:t xml:space="preserve">For accounting purposes, the Financial Reporting Team will assume that the purpose of gifts coded to each source </w:t>
      </w:r>
      <w:r w:rsidR="00D80C84">
        <w:t>o</w:t>
      </w:r>
      <w:r w:rsidR="00855883">
        <w:t>f funds code is the same in 2021/22</w:t>
      </w:r>
      <w:r w:rsidRPr="00D03B4F">
        <w:t xml:space="preserve"> as in previous years. If the purpose changed during the year, please contact the Financial Reporting Team as it may mean that the accounting treatment needs to be changed.</w:t>
      </w:r>
    </w:p>
    <w:p w:rsidR="00C2571E" w:rsidRPr="00D03B4F" w:rsidRDefault="00C2571E" w:rsidP="00C2571E">
      <w:pPr>
        <w:tabs>
          <w:tab w:val="clear" w:pos="576"/>
        </w:tabs>
        <w:spacing w:after="0"/>
      </w:pPr>
    </w:p>
    <w:p w:rsidR="00D03B4F" w:rsidRPr="00FA4544" w:rsidRDefault="00D03B4F" w:rsidP="00C2571E">
      <w:pPr>
        <w:pStyle w:val="Heading3"/>
        <w:rPr>
          <w:sz w:val="36"/>
          <w:szCs w:val="36"/>
        </w:rPr>
      </w:pPr>
      <w:r w:rsidRPr="00FA4544">
        <w:rPr>
          <w:sz w:val="36"/>
          <w:szCs w:val="36"/>
        </w:rPr>
        <w:t>Where to find further information</w:t>
      </w:r>
    </w:p>
    <w:p w:rsidR="00FA4544" w:rsidRPr="00FA4544" w:rsidRDefault="00FA4544" w:rsidP="00C2571E">
      <w:pPr>
        <w:pStyle w:val="Heading3"/>
        <w:rPr>
          <w:sz w:val="28"/>
          <w:szCs w:val="28"/>
        </w:rPr>
      </w:pPr>
      <w:r w:rsidRPr="00FA4544">
        <w:rPr>
          <w:sz w:val="28"/>
          <w:szCs w:val="28"/>
        </w:rPr>
        <w:t>General Ledger</w:t>
      </w:r>
    </w:p>
    <w:p w:rsidR="00FA4544" w:rsidRDefault="00FA4544" w:rsidP="00C2571E">
      <w:pPr>
        <w:tabs>
          <w:tab w:val="clear" w:pos="576"/>
          <w:tab w:val="clear" w:pos="1728"/>
          <w:tab w:val="clear" w:pos="5760"/>
          <w:tab w:val="left" w:pos="1701"/>
          <w:tab w:val="left" w:pos="2268"/>
          <w:tab w:val="right" w:pos="9639"/>
        </w:tabs>
        <w:spacing w:after="0"/>
      </w:pPr>
    </w:p>
    <w:p w:rsidR="002F3BD9" w:rsidRDefault="00D03B4F" w:rsidP="00C2571E">
      <w:pPr>
        <w:tabs>
          <w:tab w:val="clear" w:pos="576"/>
          <w:tab w:val="clear" w:pos="1728"/>
          <w:tab w:val="clear" w:pos="5760"/>
          <w:tab w:val="left" w:pos="1701"/>
          <w:tab w:val="left" w:pos="2268"/>
          <w:tab w:val="right" w:pos="9639"/>
        </w:tabs>
        <w:spacing w:after="0"/>
      </w:pPr>
      <w:r w:rsidRPr="00D03B4F">
        <w:t>To find total income and expenditure relating to donations in your department and see the any balance</w:t>
      </w:r>
      <w:r w:rsidR="005930CA">
        <w:t>s</w:t>
      </w:r>
      <w:r w:rsidRPr="00D03B4F">
        <w:t xml:space="preserve"> currently deferred, run the </w:t>
      </w:r>
      <w:hyperlink r:id="rId14" w:history="1">
        <w:r w:rsidR="00963F3F" w:rsidRPr="00963F3F">
          <w:rPr>
            <w:rStyle w:val="Hyperlink"/>
          </w:rPr>
          <w:t>UO Trial Balance - Detailed New</w:t>
        </w:r>
      </w:hyperlink>
      <w:r w:rsidR="00963F3F" w:rsidRPr="00963F3F">
        <w:t xml:space="preserve"> </w:t>
      </w:r>
      <w:r w:rsidR="00963F3F">
        <w:t xml:space="preserve">Splash BI report. The report returns details </w:t>
      </w:r>
      <w:r w:rsidR="00963F3F" w:rsidRPr="00963F3F">
        <w:t xml:space="preserve">of General Ledger actual account balances and </w:t>
      </w:r>
      <w:proofErr w:type="gramStart"/>
      <w:r w:rsidR="00963F3F" w:rsidRPr="00963F3F">
        <w:t xml:space="preserve">can be </w:t>
      </w:r>
      <w:r w:rsidR="00313B3E">
        <w:t>run</w:t>
      </w:r>
      <w:proofErr w:type="gramEnd"/>
      <w:r w:rsidR="00313B3E">
        <w:t xml:space="preserve"> by </w:t>
      </w:r>
      <w:r w:rsidR="00963F3F">
        <w:t>source of funds code</w:t>
      </w:r>
      <w:r w:rsidR="00963F3F" w:rsidRPr="00963F3F">
        <w:t xml:space="preserve">, </w:t>
      </w:r>
      <w:r w:rsidR="00963F3F">
        <w:t xml:space="preserve">source of funds </w:t>
      </w:r>
      <w:r w:rsidR="00963F3F" w:rsidRPr="00963F3F">
        <w:t>p</w:t>
      </w:r>
      <w:r w:rsidR="00963F3F">
        <w:t>arent or a range of source of funds.</w:t>
      </w:r>
    </w:p>
    <w:p w:rsidR="00422556" w:rsidRDefault="00422556" w:rsidP="00C2571E">
      <w:pPr>
        <w:tabs>
          <w:tab w:val="clear" w:pos="576"/>
          <w:tab w:val="clear" w:pos="1728"/>
          <w:tab w:val="clear" w:pos="5760"/>
          <w:tab w:val="left" w:pos="1701"/>
          <w:tab w:val="left" w:pos="2268"/>
          <w:tab w:val="right" w:pos="9639"/>
        </w:tabs>
        <w:spacing w:after="0"/>
      </w:pPr>
    </w:p>
    <w:p w:rsidR="00422556" w:rsidRDefault="00422556" w:rsidP="00C2571E">
      <w:pPr>
        <w:tabs>
          <w:tab w:val="clear" w:pos="576"/>
          <w:tab w:val="clear" w:pos="1728"/>
          <w:tab w:val="clear" w:pos="5760"/>
          <w:tab w:val="left" w:pos="1701"/>
          <w:tab w:val="left" w:pos="2268"/>
          <w:tab w:val="right" w:pos="9639"/>
        </w:tabs>
        <w:spacing w:after="0"/>
      </w:pPr>
      <w:r>
        <w:t xml:space="preserve">Alternatively, there is a </w:t>
      </w:r>
      <w:hyperlink r:id="rId15" w:history="1">
        <w:r w:rsidRPr="00422556">
          <w:rPr>
            <w:rStyle w:val="Hyperlink"/>
          </w:rPr>
          <w:t>Templated Financial Report</w:t>
        </w:r>
      </w:hyperlink>
      <w:r>
        <w:t xml:space="preserve"> (Inc_</w:t>
      </w:r>
      <w:r w:rsidRPr="00422556">
        <w:t>Exp Donations SOF</w:t>
      </w:r>
      <w:r>
        <w:t>) which provides details of year to date income and expenditure and deferred balances by source of funds code.</w:t>
      </w:r>
    </w:p>
    <w:p w:rsidR="002F3BD9" w:rsidRDefault="002F3BD9" w:rsidP="00C2571E">
      <w:pPr>
        <w:tabs>
          <w:tab w:val="clear" w:pos="576"/>
          <w:tab w:val="clear" w:pos="1728"/>
          <w:tab w:val="clear" w:pos="5760"/>
          <w:tab w:val="left" w:pos="1701"/>
          <w:tab w:val="left" w:pos="2268"/>
          <w:tab w:val="right" w:pos="9639"/>
        </w:tabs>
        <w:spacing w:after="0"/>
      </w:pPr>
    </w:p>
    <w:p w:rsidR="007B03D3" w:rsidRDefault="00313B3E" w:rsidP="00963F3F">
      <w:pPr>
        <w:tabs>
          <w:tab w:val="clear" w:pos="576"/>
        </w:tabs>
        <w:spacing w:after="0"/>
      </w:pPr>
      <w:r>
        <w:t xml:space="preserve">Deferred donation balances can be found on </w:t>
      </w:r>
      <w:r w:rsidR="00963F3F">
        <w:t>natural accounts 26200 (Donations Received in Advance) and 26260 (Deferred grants with performance conditions). Please note that the existence of two natural accounts is necessary from a financial reporting perspective and the process is identical from a departmental point of view regardless of on which natural account the balances is located.</w:t>
      </w:r>
    </w:p>
    <w:p w:rsidR="00D816F7" w:rsidRPr="00D816F7" w:rsidRDefault="00D816F7" w:rsidP="00C2571E">
      <w:pPr>
        <w:pStyle w:val="Heading3"/>
        <w:rPr>
          <w:sz w:val="28"/>
          <w:szCs w:val="28"/>
        </w:rPr>
      </w:pPr>
      <w:r w:rsidRPr="00D816F7">
        <w:rPr>
          <w:sz w:val="28"/>
          <w:szCs w:val="28"/>
        </w:rPr>
        <w:t>Projects</w:t>
      </w:r>
    </w:p>
    <w:p w:rsidR="007B03D3" w:rsidRDefault="00D816F7" w:rsidP="00C2571E">
      <w:pPr>
        <w:tabs>
          <w:tab w:val="clear" w:pos="576"/>
        </w:tabs>
        <w:spacing w:after="0"/>
      </w:pPr>
      <w:r w:rsidRPr="00D816F7">
        <w:t>The reports currently used to support the financial manag</w:t>
      </w:r>
      <w:r>
        <w:t>e</w:t>
      </w:r>
      <w:r w:rsidRPr="00D816F7">
        <w:t>ment of rese</w:t>
      </w:r>
      <w:r>
        <w:t>a</w:t>
      </w:r>
      <w:r w:rsidRPr="00D816F7">
        <w:t xml:space="preserve">rch projects </w:t>
      </w:r>
      <w:proofErr w:type="gramStart"/>
      <w:r w:rsidRPr="00D816F7">
        <w:t>can also be used</w:t>
      </w:r>
      <w:proofErr w:type="gramEnd"/>
      <w:r w:rsidRPr="00D816F7">
        <w:t xml:space="preserve"> for donations. For example, the </w:t>
      </w:r>
      <w:hyperlink r:id="rId16" w:history="1">
        <w:r w:rsidRPr="00D816F7">
          <w:rPr>
            <w:rStyle w:val="Hyperlink"/>
          </w:rPr>
          <w:t>UO Projects Status and Activity Report</w:t>
        </w:r>
      </w:hyperlink>
      <w:r w:rsidRPr="00D816F7">
        <w:t xml:space="preserve"> can be run for both research and non-research projects</w:t>
      </w:r>
      <w:r>
        <w:t>.</w:t>
      </w:r>
    </w:p>
    <w:p w:rsidR="00D03B4F" w:rsidRPr="00FA4544" w:rsidRDefault="00D03B4F" w:rsidP="00C2571E">
      <w:pPr>
        <w:pStyle w:val="Heading3"/>
        <w:rPr>
          <w:sz w:val="36"/>
          <w:szCs w:val="36"/>
        </w:rPr>
      </w:pPr>
      <w:r w:rsidRPr="00FA4544">
        <w:rPr>
          <w:sz w:val="36"/>
          <w:szCs w:val="36"/>
        </w:rPr>
        <w:t>Who to contact if there is a query</w:t>
      </w:r>
    </w:p>
    <w:p w:rsidR="00DA10F1" w:rsidRPr="002F3BD9" w:rsidRDefault="00D03B4F" w:rsidP="00C2571E">
      <w:pPr>
        <w:tabs>
          <w:tab w:val="clear" w:pos="1728"/>
          <w:tab w:val="clear" w:pos="5760"/>
          <w:tab w:val="left" w:pos="1701"/>
          <w:tab w:val="left" w:pos="2268"/>
          <w:tab w:val="right" w:pos="9639"/>
        </w:tabs>
        <w:spacing w:after="0"/>
      </w:pPr>
      <w:r w:rsidRPr="00D03B4F">
        <w:t xml:space="preserve">Initially contact </w:t>
      </w:r>
      <w:hyperlink r:id="rId17" w:history="1">
        <w:r w:rsidRPr="004F175C">
          <w:rPr>
            <w:rStyle w:val="Hyperlink"/>
          </w:rPr>
          <w:t>your Divisional Financial Controller</w:t>
        </w:r>
      </w:hyperlink>
      <w:bookmarkStart w:id="1" w:name="_Toc354586586"/>
      <w:bookmarkEnd w:id="1"/>
      <w:r w:rsidR="00422556">
        <w:t xml:space="preserve"> or the Financial Reporting Team (</w:t>
      </w:r>
      <w:hyperlink r:id="rId18" w:history="1">
        <w:r w:rsidR="00422556" w:rsidRPr="001E5FDE">
          <w:rPr>
            <w:rStyle w:val="Hyperlink"/>
          </w:rPr>
          <w:t>financial.reporting@admin.ox.ac.uk</w:t>
        </w:r>
      </w:hyperlink>
      <w:r w:rsidR="00422556">
        <w:t>).</w:t>
      </w:r>
    </w:p>
    <w:sectPr w:rsidR="00DA10F1" w:rsidRPr="002F3BD9" w:rsidSect="005E5EE1">
      <w:headerReference w:type="first" r:id="rId19"/>
      <w:footerReference w:type="first" r:id="rId20"/>
      <w:footnotePr>
        <w:numRestart w:val="eachPage"/>
      </w:footnotePr>
      <w:pgSz w:w="11906" w:h="16838" w:code="9"/>
      <w:pgMar w:top="1138" w:right="1138" w:bottom="1138" w:left="113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6D" w:rsidRDefault="009F176D">
      <w:pPr>
        <w:spacing w:after="0"/>
      </w:pPr>
      <w:r>
        <w:separator/>
      </w:r>
    </w:p>
  </w:endnote>
  <w:endnote w:type="continuationSeparator" w:id="0">
    <w:p w:rsidR="009F176D" w:rsidRDefault="009F1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D9" w:rsidRPr="005E5EE1" w:rsidRDefault="002F3BD9" w:rsidP="002F3BD9">
    <w:pPr>
      <w:pStyle w:val="Footer"/>
      <w:spacing w:before="0"/>
      <w:jc w:val="right"/>
      <w:rPr>
        <w:sz w:val="20"/>
        <w:szCs w:val="20"/>
      </w:rPr>
    </w:pPr>
    <w:r w:rsidRPr="005E5EE1">
      <w:rPr>
        <w:sz w:val="20"/>
        <w:szCs w:val="20"/>
      </w:rPr>
      <w:t>Finance Division</w:t>
    </w:r>
  </w:p>
  <w:p w:rsidR="00422556" w:rsidRPr="00422556" w:rsidRDefault="00422556" w:rsidP="00422556">
    <w:pPr>
      <w:pStyle w:val="Footer"/>
      <w:spacing w:before="0"/>
      <w:jc w:val="right"/>
      <w:rPr>
        <w:sz w:val="20"/>
        <w:szCs w:val="20"/>
      </w:rPr>
    </w:pPr>
    <w:r w:rsidRPr="00422556">
      <w:rPr>
        <w:sz w:val="20"/>
        <w:szCs w:val="20"/>
      </w:rPr>
      <w:t>https://finance.admin.ox.ac.uk/financial-accounting-guidance</w:t>
    </w:r>
  </w:p>
  <w:p w:rsidR="005E5EE1" w:rsidRPr="002F3BD9" w:rsidRDefault="002F3BD9" w:rsidP="002F3BD9">
    <w:pPr>
      <w:pStyle w:val="Footer"/>
      <w:spacing w:before="0"/>
      <w:jc w:val="right"/>
      <w:rPr>
        <w:sz w:val="20"/>
        <w:szCs w:val="20"/>
      </w:rPr>
    </w:pPr>
    <w:r w:rsidRPr="005E5EE1">
      <w:rPr>
        <w:sz w:val="20"/>
        <w:szCs w:val="20"/>
      </w:rPr>
      <w:t>Version 1.</w:t>
    </w:r>
    <w:r w:rsidR="00422556">
      <w:rPr>
        <w:sz w:val="20"/>
        <w:szCs w:val="20"/>
      </w:rPr>
      <w:t xml:space="preserve">2 </w:t>
    </w:r>
    <w:r w:rsidRPr="005E5EE1">
      <w:rPr>
        <w:sz w:val="20"/>
        <w:szCs w:val="20"/>
      </w:rPr>
      <w:t xml:space="preserve">– </w:t>
    </w:r>
    <w:r w:rsidR="004B60EF">
      <w:rPr>
        <w:sz w:val="20"/>
        <w:szCs w:val="20"/>
      </w:rPr>
      <w:t>June 202</w:t>
    </w:r>
    <w:r w:rsidR="00422556">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6D" w:rsidRDefault="009F176D">
      <w:pPr>
        <w:pStyle w:val="Footer"/>
      </w:pPr>
    </w:p>
  </w:footnote>
  <w:footnote w:type="continuationSeparator" w:id="0">
    <w:p w:rsidR="009F176D" w:rsidRDefault="009F176D">
      <w:pPr>
        <w:pStyle w:val="Footer"/>
      </w:pPr>
    </w:p>
  </w:footnote>
  <w:footnote w:type="continuationNotice" w:id="1">
    <w:p w:rsidR="009F176D" w:rsidRDefault="009F176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E1" w:rsidRDefault="005E5EE1" w:rsidP="005E5EE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EC3"/>
    <w:multiLevelType w:val="multilevel"/>
    <w:tmpl w:val="C8DC3C9E"/>
    <w:lvl w:ilvl="0">
      <w:start w:val="1"/>
      <w:numFmt w:val="bullet"/>
      <w:pStyle w:val="ListBullet"/>
      <w:lvlText w:val=""/>
      <w:lvlJc w:val="left"/>
      <w:pPr>
        <w:tabs>
          <w:tab w:val="num" w:pos="271"/>
        </w:tabs>
        <w:ind w:left="271" w:hanging="567"/>
      </w:pPr>
      <w:rPr>
        <w:rFonts w:ascii="Symbol" w:hAnsi="Symbol" w:hint="default"/>
        <w:b w:val="0"/>
        <w:i w:val="0"/>
        <w:color w:val="auto"/>
        <w:kern w:val="0"/>
        <w:sz w:val="22"/>
      </w:rPr>
    </w:lvl>
    <w:lvl w:ilvl="1">
      <w:start w:val="1"/>
      <w:numFmt w:val="bullet"/>
      <w:pStyle w:val="ListContinue"/>
      <w:lvlText w:val=""/>
      <w:lvlJc w:val="left"/>
      <w:pPr>
        <w:ind w:left="271" w:firstLine="0"/>
      </w:pPr>
      <w:rPr>
        <w:rFonts w:ascii="Symbol" w:hAnsi="Symbol" w:hint="default"/>
        <w:color w:val="auto"/>
      </w:rPr>
    </w:lvl>
    <w:lvl w:ilvl="2">
      <w:start w:val="1"/>
      <w:numFmt w:val="bullet"/>
      <w:pStyle w:val="ListBullet2"/>
      <w:lvlText w:val=""/>
      <w:lvlJc w:val="left"/>
      <w:pPr>
        <w:tabs>
          <w:tab w:val="num" w:pos="838"/>
        </w:tabs>
        <w:ind w:left="838" w:hanging="567"/>
      </w:pPr>
      <w:rPr>
        <w:rFonts w:ascii="Symbol" w:hAnsi="Symbol" w:hint="default"/>
        <w:color w:val="auto"/>
      </w:rPr>
    </w:lvl>
    <w:lvl w:ilvl="3">
      <w:start w:val="1"/>
      <w:numFmt w:val="none"/>
      <w:pStyle w:val="ListContinue2"/>
      <w:suff w:val="nothing"/>
      <w:lvlText w:val=""/>
      <w:lvlJc w:val="left"/>
      <w:pPr>
        <w:ind w:left="838" w:firstLine="0"/>
      </w:pPr>
      <w:rPr>
        <w:color w:val="auto"/>
      </w:rPr>
    </w:lvl>
    <w:lvl w:ilvl="4">
      <w:start w:val="1"/>
      <w:numFmt w:val="none"/>
      <w:suff w:val="nothing"/>
      <w:lvlText w:val=""/>
      <w:lvlJc w:val="left"/>
      <w:pPr>
        <w:ind w:left="-296" w:firstLine="0"/>
      </w:pPr>
      <w:rPr>
        <w:color w:val="auto"/>
      </w:rPr>
    </w:lvl>
    <w:lvl w:ilvl="5">
      <w:start w:val="1"/>
      <w:numFmt w:val="none"/>
      <w:suff w:val="nothing"/>
      <w:lvlText w:val=""/>
      <w:lvlJc w:val="left"/>
      <w:pPr>
        <w:ind w:left="-296" w:firstLine="0"/>
      </w:pPr>
      <w:rPr>
        <w:color w:val="auto"/>
      </w:rPr>
    </w:lvl>
    <w:lvl w:ilvl="6">
      <w:start w:val="1"/>
      <w:numFmt w:val="none"/>
      <w:suff w:val="nothing"/>
      <w:lvlText w:val=""/>
      <w:lvlJc w:val="left"/>
      <w:pPr>
        <w:ind w:left="-296" w:firstLine="0"/>
      </w:pPr>
      <w:rPr>
        <w:color w:val="auto"/>
      </w:rPr>
    </w:lvl>
    <w:lvl w:ilvl="7">
      <w:start w:val="1"/>
      <w:numFmt w:val="none"/>
      <w:suff w:val="nothing"/>
      <w:lvlText w:val=""/>
      <w:lvlJc w:val="left"/>
      <w:pPr>
        <w:ind w:left="-296" w:firstLine="0"/>
      </w:pPr>
      <w:rPr>
        <w:color w:val="auto"/>
      </w:rPr>
    </w:lvl>
    <w:lvl w:ilvl="8">
      <w:start w:val="1"/>
      <w:numFmt w:val="none"/>
      <w:suff w:val="nothing"/>
      <w:lvlText w:val=""/>
      <w:lvlJc w:val="left"/>
      <w:pPr>
        <w:ind w:left="-296" w:firstLine="0"/>
      </w:pPr>
      <w:rPr>
        <w:color w:val="auto"/>
      </w:rPr>
    </w:lvl>
  </w:abstractNum>
  <w:abstractNum w:abstractNumId="1" w15:restartNumberingAfterBreak="0">
    <w:nsid w:val="161962FF"/>
    <w:multiLevelType w:val="multilevel"/>
    <w:tmpl w:val="2306F10E"/>
    <w:styleLink w:val="Style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DB6355"/>
    <w:multiLevelType w:val="multilevel"/>
    <w:tmpl w:val="1778D6A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303C5F"/>
    <w:multiLevelType w:val="hybridMultilevel"/>
    <w:tmpl w:val="96DE44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7937015B"/>
    <w:multiLevelType w:val="hybridMultilevel"/>
    <w:tmpl w:val="532C53CC"/>
    <w:lvl w:ilvl="0" w:tplc="CA6E9706">
      <w:start w:val="1"/>
      <w:numFmt w:val="bullet"/>
      <w:lvlText w:val=""/>
      <w:lvlJc w:val="left"/>
      <w:pPr>
        <w:tabs>
          <w:tab w:val="num" w:pos="1806"/>
        </w:tabs>
        <w:ind w:left="1653" w:hanging="567"/>
      </w:pPr>
      <w:rPr>
        <w:rFonts w:ascii="Symbol" w:hAnsi="Symbol" w:hint="default"/>
        <w:sz w:val="20"/>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5" w15:restartNumberingAfterBreak="0">
    <w:nsid w:val="7B9E3F5D"/>
    <w:multiLevelType w:val="hybridMultilevel"/>
    <w:tmpl w:val="099A9920"/>
    <w:lvl w:ilvl="0" w:tplc="C1AA13D8">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8EACD8C0" w:tentative="1">
      <w:start w:val="1"/>
      <w:numFmt w:val="bullet"/>
      <w:lvlText w:val="o"/>
      <w:lvlJc w:val="left"/>
      <w:pPr>
        <w:tabs>
          <w:tab w:val="num" w:pos="1440"/>
        </w:tabs>
        <w:ind w:left="1440" w:hanging="360"/>
      </w:pPr>
      <w:rPr>
        <w:rFonts w:ascii="Courier New" w:hAnsi="Courier New" w:hint="default"/>
      </w:rPr>
    </w:lvl>
    <w:lvl w:ilvl="2" w:tplc="D1E4AAA2" w:tentative="1">
      <w:start w:val="1"/>
      <w:numFmt w:val="bullet"/>
      <w:lvlText w:val=""/>
      <w:lvlJc w:val="left"/>
      <w:pPr>
        <w:tabs>
          <w:tab w:val="num" w:pos="2160"/>
        </w:tabs>
        <w:ind w:left="2160" w:hanging="360"/>
      </w:pPr>
      <w:rPr>
        <w:rFonts w:ascii="Wingdings" w:hAnsi="Wingdings" w:hint="default"/>
      </w:rPr>
    </w:lvl>
    <w:lvl w:ilvl="3" w:tplc="7658A09C" w:tentative="1">
      <w:start w:val="1"/>
      <w:numFmt w:val="bullet"/>
      <w:lvlText w:val=""/>
      <w:lvlJc w:val="left"/>
      <w:pPr>
        <w:tabs>
          <w:tab w:val="num" w:pos="2880"/>
        </w:tabs>
        <w:ind w:left="2880" w:hanging="360"/>
      </w:pPr>
      <w:rPr>
        <w:rFonts w:ascii="Symbol" w:hAnsi="Symbol" w:hint="default"/>
      </w:rPr>
    </w:lvl>
    <w:lvl w:ilvl="4" w:tplc="1E4A3C2A" w:tentative="1">
      <w:start w:val="1"/>
      <w:numFmt w:val="bullet"/>
      <w:lvlText w:val="o"/>
      <w:lvlJc w:val="left"/>
      <w:pPr>
        <w:tabs>
          <w:tab w:val="num" w:pos="3600"/>
        </w:tabs>
        <w:ind w:left="3600" w:hanging="360"/>
      </w:pPr>
      <w:rPr>
        <w:rFonts w:ascii="Courier New" w:hAnsi="Courier New" w:hint="default"/>
      </w:rPr>
    </w:lvl>
    <w:lvl w:ilvl="5" w:tplc="8E0E3A92" w:tentative="1">
      <w:start w:val="1"/>
      <w:numFmt w:val="bullet"/>
      <w:lvlText w:val=""/>
      <w:lvlJc w:val="left"/>
      <w:pPr>
        <w:tabs>
          <w:tab w:val="num" w:pos="4320"/>
        </w:tabs>
        <w:ind w:left="4320" w:hanging="360"/>
      </w:pPr>
      <w:rPr>
        <w:rFonts w:ascii="Wingdings" w:hAnsi="Wingdings" w:hint="default"/>
      </w:rPr>
    </w:lvl>
    <w:lvl w:ilvl="6" w:tplc="43FC6BF8" w:tentative="1">
      <w:start w:val="1"/>
      <w:numFmt w:val="bullet"/>
      <w:lvlText w:val=""/>
      <w:lvlJc w:val="left"/>
      <w:pPr>
        <w:tabs>
          <w:tab w:val="num" w:pos="5040"/>
        </w:tabs>
        <w:ind w:left="5040" w:hanging="360"/>
      </w:pPr>
      <w:rPr>
        <w:rFonts w:ascii="Symbol" w:hAnsi="Symbol" w:hint="default"/>
      </w:rPr>
    </w:lvl>
    <w:lvl w:ilvl="7" w:tplc="80A8232A" w:tentative="1">
      <w:start w:val="1"/>
      <w:numFmt w:val="bullet"/>
      <w:lvlText w:val="o"/>
      <w:lvlJc w:val="left"/>
      <w:pPr>
        <w:tabs>
          <w:tab w:val="num" w:pos="5760"/>
        </w:tabs>
        <w:ind w:left="5760" w:hanging="360"/>
      </w:pPr>
      <w:rPr>
        <w:rFonts w:ascii="Courier New" w:hAnsi="Courier New" w:hint="default"/>
      </w:rPr>
    </w:lvl>
    <w:lvl w:ilvl="8" w:tplc="46601D3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1"/>
  <w:drawingGridHorizontalSpacing w:val="110"/>
  <w:displayHorizontalDrawingGridEvery w:val="2"/>
  <w:displayVerticalDrawingGridEvery w:val="2"/>
  <w:noPunctuationKerning/>
  <w:characterSpacingControl w:val="doNotCompress"/>
  <w:hdrShapeDefaults>
    <o:shapedefaults v:ext="edit" spidmax="7169">
      <o:colormru v:ext="edit" colors="#006"/>
    </o:shapedefaults>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8"/>
    <w:rsid w:val="000024CB"/>
    <w:rsid w:val="0000529F"/>
    <w:rsid w:val="00010FE1"/>
    <w:rsid w:val="00016721"/>
    <w:rsid w:val="00022D4A"/>
    <w:rsid w:val="000264A6"/>
    <w:rsid w:val="000268BF"/>
    <w:rsid w:val="00034C81"/>
    <w:rsid w:val="000353ED"/>
    <w:rsid w:val="000404B5"/>
    <w:rsid w:val="00042710"/>
    <w:rsid w:val="00043582"/>
    <w:rsid w:val="00050157"/>
    <w:rsid w:val="00052ECA"/>
    <w:rsid w:val="00057AF6"/>
    <w:rsid w:val="00062D72"/>
    <w:rsid w:val="00070D5F"/>
    <w:rsid w:val="00075664"/>
    <w:rsid w:val="00076DC4"/>
    <w:rsid w:val="00077472"/>
    <w:rsid w:val="00080F51"/>
    <w:rsid w:val="00083ADD"/>
    <w:rsid w:val="00083C24"/>
    <w:rsid w:val="00087671"/>
    <w:rsid w:val="000A3A58"/>
    <w:rsid w:val="000B00BE"/>
    <w:rsid w:val="000B0107"/>
    <w:rsid w:val="000B228F"/>
    <w:rsid w:val="000B3847"/>
    <w:rsid w:val="000B3DEB"/>
    <w:rsid w:val="000B3FDA"/>
    <w:rsid w:val="000B4DC2"/>
    <w:rsid w:val="000C3E69"/>
    <w:rsid w:val="000C7186"/>
    <w:rsid w:val="000D08F9"/>
    <w:rsid w:val="000D19FA"/>
    <w:rsid w:val="000D301C"/>
    <w:rsid w:val="000D5AFA"/>
    <w:rsid w:val="000D62C4"/>
    <w:rsid w:val="000E1876"/>
    <w:rsid w:val="000E2EC5"/>
    <w:rsid w:val="000E30D3"/>
    <w:rsid w:val="000E39F0"/>
    <w:rsid w:val="000E3FE0"/>
    <w:rsid w:val="000E4B38"/>
    <w:rsid w:val="000E4F56"/>
    <w:rsid w:val="000F280F"/>
    <w:rsid w:val="000F5991"/>
    <w:rsid w:val="000F7417"/>
    <w:rsid w:val="001015D8"/>
    <w:rsid w:val="00104F63"/>
    <w:rsid w:val="001066F3"/>
    <w:rsid w:val="00106F1A"/>
    <w:rsid w:val="001075CD"/>
    <w:rsid w:val="00111979"/>
    <w:rsid w:val="0011208F"/>
    <w:rsid w:val="00120438"/>
    <w:rsid w:val="00124ECD"/>
    <w:rsid w:val="001260ED"/>
    <w:rsid w:val="001307AD"/>
    <w:rsid w:val="00135636"/>
    <w:rsid w:val="001361B8"/>
    <w:rsid w:val="001375AA"/>
    <w:rsid w:val="00143683"/>
    <w:rsid w:val="00143BED"/>
    <w:rsid w:val="00143D4B"/>
    <w:rsid w:val="001445BA"/>
    <w:rsid w:val="001451EA"/>
    <w:rsid w:val="00147A99"/>
    <w:rsid w:val="00157314"/>
    <w:rsid w:val="001576F4"/>
    <w:rsid w:val="00162B73"/>
    <w:rsid w:val="00163C01"/>
    <w:rsid w:val="0016419C"/>
    <w:rsid w:val="00164814"/>
    <w:rsid w:val="0017407F"/>
    <w:rsid w:val="00176504"/>
    <w:rsid w:val="00182A3B"/>
    <w:rsid w:val="0019005C"/>
    <w:rsid w:val="00195F17"/>
    <w:rsid w:val="001A15C6"/>
    <w:rsid w:val="001A5911"/>
    <w:rsid w:val="001B12E8"/>
    <w:rsid w:val="001B1939"/>
    <w:rsid w:val="001B221B"/>
    <w:rsid w:val="001B6B64"/>
    <w:rsid w:val="001B6DA7"/>
    <w:rsid w:val="001B778B"/>
    <w:rsid w:val="001C2EEF"/>
    <w:rsid w:val="001C4489"/>
    <w:rsid w:val="001D330C"/>
    <w:rsid w:val="001D4FB1"/>
    <w:rsid w:val="001D7976"/>
    <w:rsid w:val="001E0927"/>
    <w:rsid w:val="001E0E2C"/>
    <w:rsid w:val="001E3E36"/>
    <w:rsid w:val="001E7842"/>
    <w:rsid w:val="001E7B68"/>
    <w:rsid w:val="001F2A40"/>
    <w:rsid w:val="001F4033"/>
    <w:rsid w:val="001F66CD"/>
    <w:rsid w:val="00200E38"/>
    <w:rsid w:val="00205593"/>
    <w:rsid w:val="00205A34"/>
    <w:rsid w:val="00215C01"/>
    <w:rsid w:val="00215D52"/>
    <w:rsid w:val="002228BC"/>
    <w:rsid w:val="00222A6C"/>
    <w:rsid w:val="00222D79"/>
    <w:rsid w:val="002366CE"/>
    <w:rsid w:val="002371CD"/>
    <w:rsid w:val="002421FA"/>
    <w:rsid w:val="00242C57"/>
    <w:rsid w:val="00246CF3"/>
    <w:rsid w:val="00254BA8"/>
    <w:rsid w:val="00261F6A"/>
    <w:rsid w:val="0026711C"/>
    <w:rsid w:val="0026785B"/>
    <w:rsid w:val="00267B18"/>
    <w:rsid w:val="0027064C"/>
    <w:rsid w:val="00286276"/>
    <w:rsid w:val="002864F2"/>
    <w:rsid w:val="002866CE"/>
    <w:rsid w:val="00291B38"/>
    <w:rsid w:val="002A0CBB"/>
    <w:rsid w:val="002A54E1"/>
    <w:rsid w:val="002A56E9"/>
    <w:rsid w:val="002B2189"/>
    <w:rsid w:val="002C3BE4"/>
    <w:rsid w:val="002C3F31"/>
    <w:rsid w:val="002C4429"/>
    <w:rsid w:val="002C5180"/>
    <w:rsid w:val="002C5D45"/>
    <w:rsid w:val="002C6F2C"/>
    <w:rsid w:val="002D43D0"/>
    <w:rsid w:val="002D60F4"/>
    <w:rsid w:val="002E0B2A"/>
    <w:rsid w:val="002E2B93"/>
    <w:rsid w:val="002F007A"/>
    <w:rsid w:val="002F0626"/>
    <w:rsid w:val="002F3BD9"/>
    <w:rsid w:val="002F7BD2"/>
    <w:rsid w:val="00300D5D"/>
    <w:rsid w:val="003016B0"/>
    <w:rsid w:val="00304D94"/>
    <w:rsid w:val="00304E66"/>
    <w:rsid w:val="003116B7"/>
    <w:rsid w:val="00312C69"/>
    <w:rsid w:val="00313B3E"/>
    <w:rsid w:val="00314AB3"/>
    <w:rsid w:val="00317A58"/>
    <w:rsid w:val="00317AB7"/>
    <w:rsid w:val="00320238"/>
    <w:rsid w:val="00327615"/>
    <w:rsid w:val="003279AD"/>
    <w:rsid w:val="0033204C"/>
    <w:rsid w:val="00332E5A"/>
    <w:rsid w:val="00332F15"/>
    <w:rsid w:val="003347C8"/>
    <w:rsid w:val="00335F1F"/>
    <w:rsid w:val="003362E0"/>
    <w:rsid w:val="0034234A"/>
    <w:rsid w:val="003426FB"/>
    <w:rsid w:val="00343E5B"/>
    <w:rsid w:val="00347899"/>
    <w:rsid w:val="003529AF"/>
    <w:rsid w:val="00353E13"/>
    <w:rsid w:val="00356121"/>
    <w:rsid w:val="0035691C"/>
    <w:rsid w:val="003648CA"/>
    <w:rsid w:val="00365200"/>
    <w:rsid w:val="003659D3"/>
    <w:rsid w:val="0037049F"/>
    <w:rsid w:val="00371DAD"/>
    <w:rsid w:val="00373B52"/>
    <w:rsid w:val="0039536B"/>
    <w:rsid w:val="00396B3C"/>
    <w:rsid w:val="00397D5B"/>
    <w:rsid w:val="003A2500"/>
    <w:rsid w:val="003A29F0"/>
    <w:rsid w:val="003B285B"/>
    <w:rsid w:val="003B3C83"/>
    <w:rsid w:val="003B43DF"/>
    <w:rsid w:val="003B5E68"/>
    <w:rsid w:val="003C4554"/>
    <w:rsid w:val="003C5A20"/>
    <w:rsid w:val="003C6432"/>
    <w:rsid w:val="003D1147"/>
    <w:rsid w:val="003D33CA"/>
    <w:rsid w:val="003E46F7"/>
    <w:rsid w:val="003E4FF7"/>
    <w:rsid w:val="003F5B48"/>
    <w:rsid w:val="00406E4B"/>
    <w:rsid w:val="00412062"/>
    <w:rsid w:val="00412A46"/>
    <w:rsid w:val="00420289"/>
    <w:rsid w:val="00422556"/>
    <w:rsid w:val="004260BC"/>
    <w:rsid w:val="00426367"/>
    <w:rsid w:val="00431FB5"/>
    <w:rsid w:val="0043233A"/>
    <w:rsid w:val="004323BA"/>
    <w:rsid w:val="0043796E"/>
    <w:rsid w:val="004408DB"/>
    <w:rsid w:val="0044566D"/>
    <w:rsid w:val="00446EC5"/>
    <w:rsid w:val="004527EC"/>
    <w:rsid w:val="00453AEB"/>
    <w:rsid w:val="004561EA"/>
    <w:rsid w:val="00461ECD"/>
    <w:rsid w:val="0046277A"/>
    <w:rsid w:val="004632B9"/>
    <w:rsid w:val="00466415"/>
    <w:rsid w:val="00477284"/>
    <w:rsid w:val="00482EAC"/>
    <w:rsid w:val="004868A2"/>
    <w:rsid w:val="00487955"/>
    <w:rsid w:val="004908DA"/>
    <w:rsid w:val="00495A01"/>
    <w:rsid w:val="00497701"/>
    <w:rsid w:val="004A44CE"/>
    <w:rsid w:val="004A59E5"/>
    <w:rsid w:val="004B3387"/>
    <w:rsid w:val="004B3F49"/>
    <w:rsid w:val="004B5437"/>
    <w:rsid w:val="004B60EF"/>
    <w:rsid w:val="004C083A"/>
    <w:rsid w:val="004C487C"/>
    <w:rsid w:val="004C7B2E"/>
    <w:rsid w:val="004D1201"/>
    <w:rsid w:val="004D3A6D"/>
    <w:rsid w:val="004D60EF"/>
    <w:rsid w:val="004E221C"/>
    <w:rsid w:val="004E294F"/>
    <w:rsid w:val="004E40D6"/>
    <w:rsid w:val="004E48BA"/>
    <w:rsid w:val="004F0EB3"/>
    <w:rsid w:val="004F175C"/>
    <w:rsid w:val="004F5812"/>
    <w:rsid w:val="004F702F"/>
    <w:rsid w:val="00505DF8"/>
    <w:rsid w:val="00506C70"/>
    <w:rsid w:val="00512167"/>
    <w:rsid w:val="005267DA"/>
    <w:rsid w:val="00530B25"/>
    <w:rsid w:val="0053210D"/>
    <w:rsid w:val="005333EF"/>
    <w:rsid w:val="00540014"/>
    <w:rsid w:val="00540634"/>
    <w:rsid w:val="005439D6"/>
    <w:rsid w:val="00545026"/>
    <w:rsid w:val="00545603"/>
    <w:rsid w:val="00545E17"/>
    <w:rsid w:val="00547857"/>
    <w:rsid w:val="005511AD"/>
    <w:rsid w:val="00557233"/>
    <w:rsid w:val="00565B53"/>
    <w:rsid w:val="00567B2E"/>
    <w:rsid w:val="00567D5F"/>
    <w:rsid w:val="00571BFC"/>
    <w:rsid w:val="00571F0B"/>
    <w:rsid w:val="00573148"/>
    <w:rsid w:val="00582D00"/>
    <w:rsid w:val="0058527D"/>
    <w:rsid w:val="00585432"/>
    <w:rsid w:val="005930CA"/>
    <w:rsid w:val="00593EEE"/>
    <w:rsid w:val="005950EC"/>
    <w:rsid w:val="00596999"/>
    <w:rsid w:val="005A02A6"/>
    <w:rsid w:val="005A172C"/>
    <w:rsid w:val="005A22CE"/>
    <w:rsid w:val="005A453D"/>
    <w:rsid w:val="005B0E02"/>
    <w:rsid w:val="005B3061"/>
    <w:rsid w:val="005B4AAC"/>
    <w:rsid w:val="005B5A73"/>
    <w:rsid w:val="005B5A78"/>
    <w:rsid w:val="005B6D21"/>
    <w:rsid w:val="005C3663"/>
    <w:rsid w:val="005C7C46"/>
    <w:rsid w:val="005D0AC7"/>
    <w:rsid w:val="005D7D30"/>
    <w:rsid w:val="005E223E"/>
    <w:rsid w:val="005E2366"/>
    <w:rsid w:val="005E2E6B"/>
    <w:rsid w:val="005E5EE1"/>
    <w:rsid w:val="005F47F8"/>
    <w:rsid w:val="005F5221"/>
    <w:rsid w:val="005F6F19"/>
    <w:rsid w:val="005F782A"/>
    <w:rsid w:val="00603432"/>
    <w:rsid w:val="006063B5"/>
    <w:rsid w:val="006102B1"/>
    <w:rsid w:val="00616FC6"/>
    <w:rsid w:val="00622055"/>
    <w:rsid w:val="006228FB"/>
    <w:rsid w:val="00622FC5"/>
    <w:rsid w:val="00623E72"/>
    <w:rsid w:val="00635D90"/>
    <w:rsid w:val="00637064"/>
    <w:rsid w:val="00637B41"/>
    <w:rsid w:val="00641336"/>
    <w:rsid w:val="00647D79"/>
    <w:rsid w:val="0065157F"/>
    <w:rsid w:val="00651D61"/>
    <w:rsid w:val="006520B0"/>
    <w:rsid w:val="006568A3"/>
    <w:rsid w:val="006616CC"/>
    <w:rsid w:val="00661DE4"/>
    <w:rsid w:val="00663FA7"/>
    <w:rsid w:val="00670329"/>
    <w:rsid w:val="006713EE"/>
    <w:rsid w:val="00673656"/>
    <w:rsid w:val="00680E41"/>
    <w:rsid w:val="006920BF"/>
    <w:rsid w:val="006A23EF"/>
    <w:rsid w:val="006A2622"/>
    <w:rsid w:val="006A2F4F"/>
    <w:rsid w:val="006A3CFC"/>
    <w:rsid w:val="006A490A"/>
    <w:rsid w:val="006B13A2"/>
    <w:rsid w:val="006B1528"/>
    <w:rsid w:val="006B154C"/>
    <w:rsid w:val="006B1E6F"/>
    <w:rsid w:val="006B6309"/>
    <w:rsid w:val="006C3C06"/>
    <w:rsid w:val="006C7CC6"/>
    <w:rsid w:val="006D2524"/>
    <w:rsid w:val="006F34B5"/>
    <w:rsid w:val="006F77B1"/>
    <w:rsid w:val="007001ED"/>
    <w:rsid w:val="00701409"/>
    <w:rsid w:val="00701905"/>
    <w:rsid w:val="00701E03"/>
    <w:rsid w:val="00702854"/>
    <w:rsid w:val="0070521F"/>
    <w:rsid w:val="0071037C"/>
    <w:rsid w:val="00714A41"/>
    <w:rsid w:val="00716F14"/>
    <w:rsid w:val="007211A8"/>
    <w:rsid w:val="00732CC5"/>
    <w:rsid w:val="00734EAC"/>
    <w:rsid w:val="00740381"/>
    <w:rsid w:val="007406BC"/>
    <w:rsid w:val="007518A0"/>
    <w:rsid w:val="007534F1"/>
    <w:rsid w:val="007619AB"/>
    <w:rsid w:val="00761E67"/>
    <w:rsid w:val="00763080"/>
    <w:rsid w:val="00765BC3"/>
    <w:rsid w:val="00770730"/>
    <w:rsid w:val="00774F15"/>
    <w:rsid w:val="00776EC3"/>
    <w:rsid w:val="00777A8B"/>
    <w:rsid w:val="00782EE8"/>
    <w:rsid w:val="00791C5B"/>
    <w:rsid w:val="0079424B"/>
    <w:rsid w:val="00795663"/>
    <w:rsid w:val="007A049F"/>
    <w:rsid w:val="007A438A"/>
    <w:rsid w:val="007A45D6"/>
    <w:rsid w:val="007B03D3"/>
    <w:rsid w:val="007B3191"/>
    <w:rsid w:val="007C400F"/>
    <w:rsid w:val="007C5AC2"/>
    <w:rsid w:val="007D26DE"/>
    <w:rsid w:val="007D6F74"/>
    <w:rsid w:val="007D70C6"/>
    <w:rsid w:val="007E5156"/>
    <w:rsid w:val="007F0C1E"/>
    <w:rsid w:val="007F7D0B"/>
    <w:rsid w:val="0080194B"/>
    <w:rsid w:val="00802196"/>
    <w:rsid w:val="008021A5"/>
    <w:rsid w:val="0080329B"/>
    <w:rsid w:val="00807C31"/>
    <w:rsid w:val="00817A14"/>
    <w:rsid w:val="0082081C"/>
    <w:rsid w:val="008224F7"/>
    <w:rsid w:val="00822519"/>
    <w:rsid w:val="0082295A"/>
    <w:rsid w:val="00826C42"/>
    <w:rsid w:val="00831103"/>
    <w:rsid w:val="008311AD"/>
    <w:rsid w:val="00831EE4"/>
    <w:rsid w:val="008321BC"/>
    <w:rsid w:val="00833342"/>
    <w:rsid w:val="00834662"/>
    <w:rsid w:val="00836D46"/>
    <w:rsid w:val="00841A6F"/>
    <w:rsid w:val="00843BC6"/>
    <w:rsid w:val="00851E8B"/>
    <w:rsid w:val="00854552"/>
    <w:rsid w:val="00854E50"/>
    <w:rsid w:val="00855883"/>
    <w:rsid w:val="00860AA3"/>
    <w:rsid w:val="00861F1F"/>
    <w:rsid w:val="00864EB3"/>
    <w:rsid w:val="00865720"/>
    <w:rsid w:val="00865B44"/>
    <w:rsid w:val="008675F4"/>
    <w:rsid w:val="00871857"/>
    <w:rsid w:val="008737BB"/>
    <w:rsid w:val="0088648F"/>
    <w:rsid w:val="008923E3"/>
    <w:rsid w:val="008A129E"/>
    <w:rsid w:val="008A1942"/>
    <w:rsid w:val="008A2D7A"/>
    <w:rsid w:val="008A3EF2"/>
    <w:rsid w:val="008A41B2"/>
    <w:rsid w:val="008B1324"/>
    <w:rsid w:val="008B60CF"/>
    <w:rsid w:val="008B646B"/>
    <w:rsid w:val="008C0EBE"/>
    <w:rsid w:val="008C1D3F"/>
    <w:rsid w:val="008C2A64"/>
    <w:rsid w:val="008C4193"/>
    <w:rsid w:val="008C5112"/>
    <w:rsid w:val="008D13C5"/>
    <w:rsid w:val="008D23BE"/>
    <w:rsid w:val="008E4494"/>
    <w:rsid w:val="008E6A9F"/>
    <w:rsid w:val="008F2CA9"/>
    <w:rsid w:val="00900204"/>
    <w:rsid w:val="00905C21"/>
    <w:rsid w:val="00906201"/>
    <w:rsid w:val="009074FD"/>
    <w:rsid w:val="00914CB8"/>
    <w:rsid w:val="0091518F"/>
    <w:rsid w:val="00917C00"/>
    <w:rsid w:val="00917DF5"/>
    <w:rsid w:val="00927680"/>
    <w:rsid w:val="009348B6"/>
    <w:rsid w:val="0093656A"/>
    <w:rsid w:val="009407CF"/>
    <w:rsid w:val="009501F6"/>
    <w:rsid w:val="0095279E"/>
    <w:rsid w:val="00953607"/>
    <w:rsid w:val="0095538D"/>
    <w:rsid w:val="00963F3F"/>
    <w:rsid w:val="00964D34"/>
    <w:rsid w:val="00966776"/>
    <w:rsid w:val="00966E06"/>
    <w:rsid w:val="00970A21"/>
    <w:rsid w:val="00975E3D"/>
    <w:rsid w:val="0098077B"/>
    <w:rsid w:val="009809F7"/>
    <w:rsid w:val="00983834"/>
    <w:rsid w:val="00984E79"/>
    <w:rsid w:val="00985DA8"/>
    <w:rsid w:val="00987640"/>
    <w:rsid w:val="009906DB"/>
    <w:rsid w:val="009928BA"/>
    <w:rsid w:val="00993A10"/>
    <w:rsid w:val="00994411"/>
    <w:rsid w:val="009960FF"/>
    <w:rsid w:val="00997286"/>
    <w:rsid w:val="00997450"/>
    <w:rsid w:val="009A2443"/>
    <w:rsid w:val="009B4ED7"/>
    <w:rsid w:val="009B76CA"/>
    <w:rsid w:val="009C1FEA"/>
    <w:rsid w:val="009C58EA"/>
    <w:rsid w:val="009C736C"/>
    <w:rsid w:val="009D31C1"/>
    <w:rsid w:val="009D3E8C"/>
    <w:rsid w:val="009D5985"/>
    <w:rsid w:val="009D75E3"/>
    <w:rsid w:val="009E345F"/>
    <w:rsid w:val="009E4418"/>
    <w:rsid w:val="009E7BD4"/>
    <w:rsid w:val="009F0F07"/>
    <w:rsid w:val="009F11A2"/>
    <w:rsid w:val="009F176C"/>
    <w:rsid w:val="009F176D"/>
    <w:rsid w:val="009F1773"/>
    <w:rsid w:val="009F68AE"/>
    <w:rsid w:val="009F7010"/>
    <w:rsid w:val="00A00F22"/>
    <w:rsid w:val="00A013C9"/>
    <w:rsid w:val="00A02E18"/>
    <w:rsid w:val="00A0453D"/>
    <w:rsid w:val="00A04F3D"/>
    <w:rsid w:val="00A0677A"/>
    <w:rsid w:val="00A12132"/>
    <w:rsid w:val="00A14AB8"/>
    <w:rsid w:val="00A376B5"/>
    <w:rsid w:val="00A37700"/>
    <w:rsid w:val="00A40AF2"/>
    <w:rsid w:val="00A44435"/>
    <w:rsid w:val="00A50C44"/>
    <w:rsid w:val="00A53063"/>
    <w:rsid w:val="00A5602E"/>
    <w:rsid w:val="00A57CE5"/>
    <w:rsid w:val="00A63AC5"/>
    <w:rsid w:val="00A66192"/>
    <w:rsid w:val="00A66CE1"/>
    <w:rsid w:val="00A6739B"/>
    <w:rsid w:val="00A67543"/>
    <w:rsid w:val="00A7346D"/>
    <w:rsid w:val="00A8069D"/>
    <w:rsid w:val="00A827A6"/>
    <w:rsid w:val="00A840B2"/>
    <w:rsid w:val="00A84E5F"/>
    <w:rsid w:val="00A868A9"/>
    <w:rsid w:val="00A87FF4"/>
    <w:rsid w:val="00AB68E9"/>
    <w:rsid w:val="00AC3EF3"/>
    <w:rsid w:val="00AC69D6"/>
    <w:rsid w:val="00AD510D"/>
    <w:rsid w:val="00AD698B"/>
    <w:rsid w:val="00AD7F30"/>
    <w:rsid w:val="00AE16F8"/>
    <w:rsid w:val="00AE1FFD"/>
    <w:rsid w:val="00AE5162"/>
    <w:rsid w:val="00AE6952"/>
    <w:rsid w:val="00AF0FD7"/>
    <w:rsid w:val="00AF5963"/>
    <w:rsid w:val="00AF5E21"/>
    <w:rsid w:val="00AF64EC"/>
    <w:rsid w:val="00B0044D"/>
    <w:rsid w:val="00B06784"/>
    <w:rsid w:val="00B104D1"/>
    <w:rsid w:val="00B10FFB"/>
    <w:rsid w:val="00B11E66"/>
    <w:rsid w:val="00B15BAD"/>
    <w:rsid w:val="00B168B8"/>
    <w:rsid w:val="00B20DAB"/>
    <w:rsid w:val="00B2125B"/>
    <w:rsid w:val="00B219CF"/>
    <w:rsid w:val="00B237E4"/>
    <w:rsid w:val="00B25DBE"/>
    <w:rsid w:val="00B275CF"/>
    <w:rsid w:val="00B37526"/>
    <w:rsid w:val="00B469FB"/>
    <w:rsid w:val="00B47688"/>
    <w:rsid w:val="00B514A9"/>
    <w:rsid w:val="00B52662"/>
    <w:rsid w:val="00B52DB5"/>
    <w:rsid w:val="00B54281"/>
    <w:rsid w:val="00B56558"/>
    <w:rsid w:val="00B57BFA"/>
    <w:rsid w:val="00B6249A"/>
    <w:rsid w:val="00B63338"/>
    <w:rsid w:val="00B63543"/>
    <w:rsid w:val="00B657AD"/>
    <w:rsid w:val="00B720BC"/>
    <w:rsid w:val="00B73985"/>
    <w:rsid w:val="00B773A4"/>
    <w:rsid w:val="00B80057"/>
    <w:rsid w:val="00B81DB9"/>
    <w:rsid w:val="00B87E44"/>
    <w:rsid w:val="00B9275D"/>
    <w:rsid w:val="00B93BCD"/>
    <w:rsid w:val="00B94892"/>
    <w:rsid w:val="00BA5851"/>
    <w:rsid w:val="00BB0B23"/>
    <w:rsid w:val="00BB5151"/>
    <w:rsid w:val="00BC45A0"/>
    <w:rsid w:val="00BC6640"/>
    <w:rsid w:val="00BC6AFA"/>
    <w:rsid w:val="00BC710E"/>
    <w:rsid w:val="00BC7E06"/>
    <w:rsid w:val="00BE0116"/>
    <w:rsid w:val="00BF2A08"/>
    <w:rsid w:val="00BF428F"/>
    <w:rsid w:val="00C02D79"/>
    <w:rsid w:val="00C15D09"/>
    <w:rsid w:val="00C22FD6"/>
    <w:rsid w:val="00C25618"/>
    <w:rsid w:val="00C2571E"/>
    <w:rsid w:val="00C25BC5"/>
    <w:rsid w:val="00C27C71"/>
    <w:rsid w:val="00C308BD"/>
    <w:rsid w:val="00C317F5"/>
    <w:rsid w:val="00C36CAB"/>
    <w:rsid w:val="00C40D8B"/>
    <w:rsid w:val="00C43C75"/>
    <w:rsid w:val="00C50474"/>
    <w:rsid w:val="00C536CF"/>
    <w:rsid w:val="00C54C55"/>
    <w:rsid w:val="00C56414"/>
    <w:rsid w:val="00C57C11"/>
    <w:rsid w:val="00C63DA6"/>
    <w:rsid w:val="00C64C72"/>
    <w:rsid w:val="00C64D98"/>
    <w:rsid w:val="00C677A8"/>
    <w:rsid w:val="00C70452"/>
    <w:rsid w:val="00C71563"/>
    <w:rsid w:val="00C747A6"/>
    <w:rsid w:val="00C76F85"/>
    <w:rsid w:val="00C81D58"/>
    <w:rsid w:val="00C90EEF"/>
    <w:rsid w:val="00C92F14"/>
    <w:rsid w:val="00C94256"/>
    <w:rsid w:val="00C94600"/>
    <w:rsid w:val="00CA3454"/>
    <w:rsid w:val="00CA70E9"/>
    <w:rsid w:val="00CB294F"/>
    <w:rsid w:val="00CB67A6"/>
    <w:rsid w:val="00CC39BF"/>
    <w:rsid w:val="00CC4188"/>
    <w:rsid w:val="00CC50CF"/>
    <w:rsid w:val="00CC6097"/>
    <w:rsid w:val="00CC6886"/>
    <w:rsid w:val="00CC7224"/>
    <w:rsid w:val="00CC761D"/>
    <w:rsid w:val="00CD3ECE"/>
    <w:rsid w:val="00CD629B"/>
    <w:rsid w:val="00CE02B9"/>
    <w:rsid w:val="00CE3556"/>
    <w:rsid w:val="00CE3939"/>
    <w:rsid w:val="00CE7DA5"/>
    <w:rsid w:val="00CF0EAE"/>
    <w:rsid w:val="00CF1829"/>
    <w:rsid w:val="00CF3B97"/>
    <w:rsid w:val="00CF4BD4"/>
    <w:rsid w:val="00CF5572"/>
    <w:rsid w:val="00CF5AA3"/>
    <w:rsid w:val="00D00B15"/>
    <w:rsid w:val="00D0151B"/>
    <w:rsid w:val="00D01B1C"/>
    <w:rsid w:val="00D03B4F"/>
    <w:rsid w:val="00D0515E"/>
    <w:rsid w:val="00D05421"/>
    <w:rsid w:val="00D14F0F"/>
    <w:rsid w:val="00D15061"/>
    <w:rsid w:val="00D16EDF"/>
    <w:rsid w:val="00D17DEA"/>
    <w:rsid w:val="00D300C1"/>
    <w:rsid w:val="00D30454"/>
    <w:rsid w:val="00D3156B"/>
    <w:rsid w:val="00D3319B"/>
    <w:rsid w:val="00D35C6C"/>
    <w:rsid w:val="00D41337"/>
    <w:rsid w:val="00D449D2"/>
    <w:rsid w:val="00D50A8E"/>
    <w:rsid w:val="00D579AF"/>
    <w:rsid w:val="00D62424"/>
    <w:rsid w:val="00D650AA"/>
    <w:rsid w:val="00D70B5A"/>
    <w:rsid w:val="00D748F2"/>
    <w:rsid w:val="00D74F60"/>
    <w:rsid w:val="00D7711D"/>
    <w:rsid w:val="00D7756A"/>
    <w:rsid w:val="00D8069F"/>
    <w:rsid w:val="00D80C84"/>
    <w:rsid w:val="00D816F7"/>
    <w:rsid w:val="00D82B3B"/>
    <w:rsid w:val="00D8702D"/>
    <w:rsid w:val="00D94A2B"/>
    <w:rsid w:val="00D952B2"/>
    <w:rsid w:val="00D962C3"/>
    <w:rsid w:val="00D9696E"/>
    <w:rsid w:val="00DA10F1"/>
    <w:rsid w:val="00DA1964"/>
    <w:rsid w:val="00DA3323"/>
    <w:rsid w:val="00DA4014"/>
    <w:rsid w:val="00DC1325"/>
    <w:rsid w:val="00DC3E06"/>
    <w:rsid w:val="00DC605C"/>
    <w:rsid w:val="00DC7C70"/>
    <w:rsid w:val="00DD00E1"/>
    <w:rsid w:val="00DD0C64"/>
    <w:rsid w:val="00DD21C1"/>
    <w:rsid w:val="00DD2D64"/>
    <w:rsid w:val="00DE4A40"/>
    <w:rsid w:val="00DE784F"/>
    <w:rsid w:val="00DF1CE3"/>
    <w:rsid w:val="00DF278B"/>
    <w:rsid w:val="00DF2C87"/>
    <w:rsid w:val="00DF59C7"/>
    <w:rsid w:val="00E00584"/>
    <w:rsid w:val="00E01094"/>
    <w:rsid w:val="00E02BC1"/>
    <w:rsid w:val="00E03272"/>
    <w:rsid w:val="00E04EB6"/>
    <w:rsid w:val="00E05221"/>
    <w:rsid w:val="00E101E7"/>
    <w:rsid w:val="00E12E9C"/>
    <w:rsid w:val="00E12F6F"/>
    <w:rsid w:val="00E14B2A"/>
    <w:rsid w:val="00E16D8A"/>
    <w:rsid w:val="00E25139"/>
    <w:rsid w:val="00E2608E"/>
    <w:rsid w:val="00E31AD6"/>
    <w:rsid w:val="00E41AA9"/>
    <w:rsid w:val="00E44A4E"/>
    <w:rsid w:val="00E4700D"/>
    <w:rsid w:val="00E537A5"/>
    <w:rsid w:val="00E56ADE"/>
    <w:rsid w:val="00E641ED"/>
    <w:rsid w:val="00E737D7"/>
    <w:rsid w:val="00E81737"/>
    <w:rsid w:val="00E84D04"/>
    <w:rsid w:val="00E84D32"/>
    <w:rsid w:val="00E869E1"/>
    <w:rsid w:val="00E86E97"/>
    <w:rsid w:val="00E9165E"/>
    <w:rsid w:val="00E92102"/>
    <w:rsid w:val="00E9228A"/>
    <w:rsid w:val="00E94144"/>
    <w:rsid w:val="00EA0252"/>
    <w:rsid w:val="00EA1E1C"/>
    <w:rsid w:val="00EA2777"/>
    <w:rsid w:val="00EA4813"/>
    <w:rsid w:val="00EA4999"/>
    <w:rsid w:val="00EA7D00"/>
    <w:rsid w:val="00EB0873"/>
    <w:rsid w:val="00EB394D"/>
    <w:rsid w:val="00EC0AC3"/>
    <w:rsid w:val="00EC6407"/>
    <w:rsid w:val="00ED3173"/>
    <w:rsid w:val="00ED4069"/>
    <w:rsid w:val="00ED7DD4"/>
    <w:rsid w:val="00EE1344"/>
    <w:rsid w:val="00EE3220"/>
    <w:rsid w:val="00EE5AAA"/>
    <w:rsid w:val="00F02C09"/>
    <w:rsid w:val="00F02CB5"/>
    <w:rsid w:val="00F03B85"/>
    <w:rsid w:val="00F03C63"/>
    <w:rsid w:val="00F0785D"/>
    <w:rsid w:val="00F1463B"/>
    <w:rsid w:val="00F2670A"/>
    <w:rsid w:val="00F364DB"/>
    <w:rsid w:val="00F3659A"/>
    <w:rsid w:val="00F441D5"/>
    <w:rsid w:val="00F45B47"/>
    <w:rsid w:val="00F4626D"/>
    <w:rsid w:val="00F47DCB"/>
    <w:rsid w:val="00F51228"/>
    <w:rsid w:val="00F51375"/>
    <w:rsid w:val="00F54731"/>
    <w:rsid w:val="00F561A6"/>
    <w:rsid w:val="00F56C44"/>
    <w:rsid w:val="00F66E61"/>
    <w:rsid w:val="00F74649"/>
    <w:rsid w:val="00F76C31"/>
    <w:rsid w:val="00F7709A"/>
    <w:rsid w:val="00F83763"/>
    <w:rsid w:val="00F84313"/>
    <w:rsid w:val="00F865C8"/>
    <w:rsid w:val="00F86D1E"/>
    <w:rsid w:val="00F87F41"/>
    <w:rsid w:val="00F9074A"/>
    <w:rsid w:val="00F93ED6"/>
    <w:rsid w:val="00F94A5A"/>
    <w:rsid w:val="00F968EF"/>
    <w:rsid w:val="00FA0599"/>
    <w:rsid w:val="00FA1300"/>
    <w:rsid w:val="00FA32E7"/>
    <w:rsid w:val="00FA4544"/>
    <w:rsid w:val="00FA48DD"/>
    <w:rsid w:val="00FB2D79"/>
    <w:rsid w:val="00FC3662"/>
    <w:rsid w:val="00FD1DE9"/>
    <w:rsid w:val="00FD1FD6"/>
    <w:rsid w:val="00FD4718"/>
    <w:rsid w:val="00FE5B92"/>
    <w:rsid w:val="00FF1E89"/>
    <w:rsid w:val="00FF379A"/>
    <w:rsid w:val="00FF5A1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006"/>
    </o:shapedefaults>
    <o:shapelayout v:ext="edit">
      <o:idmap v:ext="edit" data="1"/>
    </o:shapelayout>
  </w:shapeDefaults>
  <w:decimalSymbol w:val="."/>
  <w:listSeparator w:val=","/>
  <w14:docId w14:val="0F0EE753"/>
  <w15:chartTrackingRefBased/>
  <w15:docId w15:val="{A4752A61-9195-4D69-A075-8E8AA2FA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D9"/>
    <w:pPr>
      <w:tabs>
        <w:tab w:val="left" w:pos="576"/>
        <w:tab w:val="left" w:pos="1152"/>
        <w:tab w:val="left" w:pos="1728"/>
        <w:tab w:val="left" w:pos="5760"/>
        <w:tab w:val="right" w:pos="7877"/>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 w:val="28"/>
      <w:szCs w:val="32"/>
    </w:rPr>
  </w:style>
  <w:style w:type="paragraph" w:styleId="Heading2">
    <w:name w:val="heading 2"/>
    <w:aliases w:val="Guide Title"/>
    <w:basedOn w:val="Normal"/>
    <w:next w:val="Normal"/>
    <w:qFormat/>
    <w:pPr>
      <w:keepNext/>
      <w:tabs>
        <w:tab w:val="clear" w:pos="576"/>
      </w:tabs>
      <w:spacing w:before="240" w:after="120"/>
      <w:outlineLvl w:val="1"/>
    </w:pPr>
    <w:rPr>
      <w:rFonts w:cs="Arial"/>
      <w:b/>
      <w:bCs/>
      <w:iCs/>
      <w:sz w:val="28"/>
      <w:szCs w:val="28"/>
    </w:rPr>
  </w:style>
  <w:style w:type="paragraph" w:styleId="Heading3">
    <w:name w:val="heading 3"/>
    <w:basedOn w:val="Normal"/>
    <w:next w:val="Normal"/>
    <w:qFormat/>
    <w:pPr>
      <w:keepNext/>
      <w:spacing w:before="240" w:after="120"/>
      <w:outlineLvl w:val="2"/>
    </w:pPr>
    <w:rPr>
      <w:rFonts w:cs="Arial"/>
      <w:b/>
      <w:bCs/>
      <w:szCs w:val="26"/>
    </w:rPr>
  </w:style>
  <w:style w:type="paragraph" w:styleId="Heading4">
    <w:name w:val="heading 4"/>
    <w:basedOn w:val="Normal"/>
    <w:next w:val="Normal"/>
    <w:qFormat/>
    <w:pPr>
      <w:keepNext/>
      <w:spacing w:before="240" w:after="60"/>
      <w:outlineLvl w:val="3"/>
    </w:pPr>
    <w:rPr>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tabs>
        <w:tab w:val="clear" w:pos="1152"/>
      </w:tabs>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color w:val="FF0000"/>
    </w:rPr>
  </w:style>
  <w:style w:type="paragraph" w:customStyle="1" w:styleId="Hidden">
    <w:name w:val="Hidden"/>
    <w:basedOn w:val="Normal"/>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jc w:val="both"/>
    </w:pPr>
    <w:rPr>
      <w:rFonts w:ascii="CG Times Italic" w:hAnsi="CG Times Italic"/>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1"/>
      </w:numPr>
    </w:pPr>
    <w:rPr>
      <w:color w:val="FF0000"/>
    </w:rPr>
  </w:style>
  <w:style w:type="paragraph" w:styleId="Title">
    <w:name w:val="Title"/>
    <w:basedOn w:val="Normal"/>
    <w:next w:val="Normal"/>
    <w:qFormat/>
    <w:pPr>
      <w:jc w:val="center"/>
      <w:outlineLvl w:val="0"/>
    </w:pPr>
    <w:rPr>
      <w:rFonts w:cs="Arial"/>
      <w:b/>
      <w:bCs/>
      <w:kern w:val="28"/>
      <w:szCs w:val="32"/>
    </w:rPr>
  </w:style>
  <w:style w:type="paragraph" w:styleId="TOC9">
    <w:name w:val="toc 9"/>
    <w:basedOn w:val="Normal"/>
    <w:next w:val="Normal"/>
    <w:autoRedefine/>
    <w:semiHidden/>
    <w:pPr>
      <w:tabs>
        <w:tab w:val="clear" w:pos="576"/>
        <w:tab w:val="clear" w:pos="1152"/>
        <w:tab w:val="clear" w:pos="1728"/>
        <w:tab w:val="clear" w:pos="5760"/>
      </w:tabs>
      <w:ind w:left="192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BodyText">
    <w:name w:val="Body Text"/>
    <w:basedOn w:val="Normal"/>
    <w:link w:val="BodyTextChar"/>
    <w:semiHidden/>
    <w:pPr>
      <w:jc w:val="both"/>
    </w:pPr>
  </w:style>
  <w:style w:type="paragraph" w:customStyle="1" w:styleId="MemoRef">
    <w:name w:val="MemoRef"/>
    <w:basedOn w:val="Normal"/>
    <w:pPr>
      <w:tabs>
        <w:tab w:val="clear" w:pos="576"/>
        <w:tab w:val="clear" w:pos="1152"/>
        <w:tab w:val="clear" w:pos="1728"/>
        <w:tab w:val="clear" w:pos="5760"/>
        <w:tab w:val="clear" w:pos="7877"/>
        <w:tab w:val="left" w:pos="720"/>
        <w:tab w:val="right" w:pos="9029"/>
      </w:tabs>
      <w:ind w:left="720" w:hanging="720"/>
    </w:pPr>
  </w:style>
  <w:style w:type="paragraph" w:customStyle="1" w:styleId="MemoTo">
    <w:name w:val="MemoTo"/>
    <w:basedOn w:val="Normal"/>
    <w:pPr>
      <w:tabs>
        <w:tab w:val="clear" w:pos="576"/>
        <w:tab w:val="clear" w:pos="1728"/>
        <w:tab w:val="clear" w:pos="5760"/>
        <w:tab w:val="clear" w:pos="7877"/>
        <w:tab w:val="right" w:pos="9029"/>
      </w:tabs>
      <w:ind w:left="1152" w:hanging="1152"/>
    </w:pPr>
  </w:style>
  <w:style w:type="paragraph" w:customStyle="1" w:styleId="To">
    <w:name w:val="To"/>
    <w:pPr>
      <w:widowControl w:val="0"/>
      <w:tabs>
        <w:tab w:val="left" w:pos="-432"/>
        <w:tab w:val="left" w:pos="0"/>
        <w:tab w:val="left" w:pos="1152"/>
        <w:tab w:val="left" w:pos="6624"/>
      </w:tabs>
      <w:suppressAutoHyphens/>
      <w:autoSpaceDE w:val="0"/>
      <w:autoSpaceDN w:val="0"/>
      <w:adjustRightInd w:val="0"/>
      <w:spacing w:line="240" w:lineRule="atLeast"/>
      <w:ind w:left="1152" w:hanging="1152"/>
    </w:pPr>
    <w:rPr>
      <w:rFonts w:ascii="CG Times" w:hAnsi="CG Times"/>
      <w:sz w:val="24"/>
      <w:szCs w:val="24"/>
      <w:lang w:val="en-US" w:eastAsia="en-US"/>
    </w:r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TickBox">
    <w:name w:val="TickBox"/>
    <w:basedOn w:val="DefaultParagraphFont"/>
  </w:style>
  <w:style w:type="paragraph" w:customStyle="1" w:styleId="FootnoteSeparator">
    <w:name w:val="Footnote Separator"/>
    <w:basedOn w:val="FootnoteText"/>
    <w:pPr>
      <w:tabs>
        <w:tab w:val="clear" w:pos="7877"/>
        <w:tab w:val="right" w:pos="9029"/>
      </w:tabs>
      <w:spacing w:after="0" w:line="240" w:lineRule="auto"/>
      <w:ind w:firstLine="0"/>
    </w:pPr>
  </w:style>
  <w:style w:type="character" w:styleId="Hyperlink">
    <w:name w:val="Hyperlink"/>
    <w:uiPriority w:val="99"/>
    <w:rsid w:val="002F3BD9"/>
    <w:rPr>
      <w:rFonts w:ascii="Arial" w:hAnsi="Arial"/>
      <w:color w:val="1F497D"/>
      <w:sz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lang w:val="x-none"/>
    </w:rPr>
  </w:style>
  <w:style w:type="paragraph" w:styleId="EnvelopeReturn">
    <w:name w:val="envelope return"/>
    <w:basedOn w:val="Normal"/>
    <w:semiHidden/>
    <w:pPr>
      <w:tabs>
        <w:tab w:val="clear" w:pos="7877"/>
        <w:tab w:val="right" w:pos="9029"/>
      </w:tabs>
      <w:spacing w:after="0"/>
    </w:pPr>
    <w:rPr>
      <w:sz w:val="20"/>
      <w:szCs w:val="20"/>
    </w:rPr>
  </w:style>
  <w:style w:type="paragraph" w:styleId="ListBullet">
    <w:name w:val="List Bullet"/>
    <w:basedOn w:val="Normal"/>
    <w:pPr>
      <w:numPr>
        <w:numId w:val="2"/>
      </w:numPr>
    </w:pPr>
  </w:style>
  <w:style w:type="paragraph" w:styleId="ListContinue">
    <w:name w:val="List Continue"/>
    <w:basedOn w:val="Normal"/>
    <w:semiHidden/>
    <w:pPr>
      <w:numPr>
        <w:ilvl w:val="1"/>
        <w:numId w:val="2"/>
      </w:numPr>
      <w:tabs>
        <w:tab w:val="clear" w:pos="576"/>
      </w:tabs>
    </w:pPr>
  </w:style>
  <w:style w:type="paragraph" w:styleId="ListBullet2">
    <w:name w:val="List Bullet 2"/>
    <w:basedOn w:val="Normal"/>
    <w:semiHidden/>
    <w:pPr>
      <w:numPr>
        <w:ilvl w:val="2"/>
        <w:numId w:val="2"/>
      </w:numPr>
      <w:tabs>
        <w:tab w:val="clear" w:pos="576"/>
      </w:tabs>
    </w:pPr>
  </w:style>
  <w:style w:type="paragraph" w:styleId="ListContinue2">
    <w:name w:val="List Continue 2"/>
    <w:basedOn w:val="Normal"/>
    <w:semiHidden/>
    <w:pPr>
      <w:numPr>
        <w:ilvl w:val="3"/>
        <w:numId w:val="2"/>
      </w:numPr>
      <w:tabs>
        <w:tab w:val="clear" w:pos="576"/>
      </w:tabs>
    </w:pPr>
  </w:style>
  <w:style w:type="paragraph" w:styleId="BodyTextIndent">
    <w:name w:val="Body Text Indent"/>
    <w:basedOn w:val="Normal"/>
    <w:link w:val="BodyTextIndentChar"/>
    <w:semiHidden/>
    <w:pPr>
      <w:ind w:left="576"/>
    </w:pPr>
    <w:rPr>
      <w:color w:val="FF0000"/>
    </w:rPr>
  </w:style>
  <w:style w:type="paragraph" w:styleId="BodyTextIndent2">
    <w:name w:val="Body Text Indent 2"/>
    <w:basedOn w:val="Normal"/>
    <w:semiHidden/>
    <w:pPr>
      <w:tabs>
        <w:tab w:val="clear" w:pos="576"/>
        <w:tab w:val="clear" w:pos="1152"/>
      </w:tabs>
      <w:ind w:left="1200" w:hanging="600"/>
    </w:pPr>
  </w:style>
  <w:style w:type="paragraph" w:styleId="BodyTextIndent3">
    <w:name w:val="Body Text Indent 3"/>
    <w:basedOn w:val="Normal"/>
    <w:semiHidden/>
    <w:pPr>
      <w:ind w:left="576"/>
    </w:pPr>
  </w:style>
  <w:style w:type="paragraph" w:styleId="HTMLPreformatted">
    <w:name w:val="HTML Preformatted"/>
    <w:basedOn w:val="Normal"/>
    <w:semiHidden/>
    <w:pPr>
      <w:tabs>
        <w:tab w:val="clear" w:pos="576"/>
        <w:tab w:val="clear" w:pos="1152"/>
        <w:tab w:val="clear" w:pos="1728"/>
        <w:tab w:val="clear" w:pos="5760"/>
        <w:tab w:val="clear" w:pos="78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LinkMail">
    <w:name w:val="LinkMail"/>
    <w:rPr>
      <w:color w:val="FF0000"/>
    </w:rPr>
  </w:style>
  <w:style w:type="character" w:customStyle="1" w:styleId="LinkWeb">
    <w:name w:val="LinkWeb"/>
    <w:rPr>
      <w:color w:val="0000FF"/>
    </w:rPr>
  </w:style>
  <w:style w:type="paragraph" w:customStyle="1" w:styleId="xl29">
    <w:name w:val="xl29"/>
    <w:basedOn w:val="Normal"/>
    <w:pPr>
      <w:pBdr>
        <w:top w:val="single" w:sz="4" w:space="0" w:color="auto"/>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0">
    <w:name w:val="xl30"/>
    <w:basedOn w:val="Normal"/>
    <w:pPr>
      <w:pBdr>
        <w:top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1">
    <w:name w:val="xl31"/>
    <w:basedOn w:val="Normal"/>
    <w:pPr>
      <w:pBdr>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2">
    <w:name w:val="xl32"/>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3">
    <w:name w:val="xl33"/>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4">
    <w:name w:val="xl34"/>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5">
    <w:name w:val="xl35"/>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character" w:styleId="FollowedHyperlink">
    <w:name w:val="FollowedHyperlink"/>
    <w:semiHidden/>
    <w:rPr>
      <w:rFonts w:ascii="Arial" w:hAnsi="Arial"/>
      <w:color w:val="auto"/>
      <w:sz w:val="22"/>
      <w:u w:val="single"/>
    </w:rPr>
  </w:style>
  <w:style w:type="paragraph" w:customStyle="1" w:styleId="xl36">
    <w:name w:val="xl36"/>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7">
    <w:name w:val="xl37"/>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8">
    <w:name w:val="xl38"/>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9">
    <w:name w:val="xl39"/>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b/>
      <w:bCs/>
      <w:color w:val="000000"/>
      <w:sz w:val="16"/>
      <w:szCs w:val="16"/>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Index1">
    <w:name w:val="index 1"/>
    <w:basedOn w:val="Normal"/>
    <w:next w:val="Normal"/>
    <w:autoRedefine/>
    <w:semiHidden/>
    <w:pPr>
      <w:tabs>
        <w:tab w:val="clear" w:pos="576"/>
        <w:tab w:val="clear" w:pos="1152"/>
        <w:tab w:val="clear" w:pos="1728"/>
        <w:tab w:val="clear" w:pos="5760"/>
        <w:tab w:val="clear" w:pos="7877"/>
      </w:tabs>
      <w:ind w:left="240" w:hanging="240"/>
    </w:pPr>
  </w:style>
  <w:style w:type="paragraph" w:styleId="Index2">
    <w:name w:val="index 2"/>
    <w:basedOn w:val="Normal"/>
    <w:next w:val="Normal"/>
    <w:autoRedefine/>
    <w:semiHidden/>
    <w:pPr>
      <w:tabs>
        <w:tab w:val="clear" w:pos="576"/>
        <w:tab w:val="clear" w:pos="1152"/>
        <w:tab w:val="clear" w:pos="1728"/>
        <w:tab w:val="clear" w:pos="5760"/>
        <w:tab w:val="clear" w:pos="7877"/>
      </w:tabs>
      <w:ind w:left="480" w:hanging="240"/>
    </w:pPr>
  </w:style>
  <w:style w:type="paragraph" w:styleId="Index3">
    <w:name w:val="index 3"/>
    <w:basedOn w:val="Normal"/>
    <w:next w:val="Normal"/>
    <w:autoRedefine/>
    <w:semiHidden/>
    <w:pPr>
      <w:tabs>
        <w:tab w:val="clear" w:pos="576"/>
        <w:tab w:val="clear" w:pos="1152"/>
        <w:tab w:val="clear" w:pos="1728"/>
        <w:tab w:val="clear" w:pos="5760"/>
        <w:tab w:val="clear" w:pos="7877"/>
      </w:tabs>
      <w:ind w:left="720" w:hanging="240"/>
    </w:pPr>
  </w:style>
  <w:style w:type="paragraph" w:styleId="Index4">
    <w:name w:val="index 4"/>
    <w:basedOn w:val="Normal"/>
    <w:next w:val="Normal"/>
    <w:autoRedefine/>
    <w:semiHidden/>
    <w:pPr>
      <w:tabs>
        <w:tab w:val="clear" w:pos="576"/>
        <w:tab w:val="clear" w:pos="1152"/>
        <w:tab w:val="clear" w:pos="1728"/>
        <w:tab w:val="clear" w:pos="5760"/>
        <w:tab w:val="clear" w:pos="7877"/>
      </w:tabs>
      <w:ind w:left="960" w:hanging="240"/>
    </w:pPr>
  </w:style>
  <w:style w:type="paragraph" w:styleId="Index5">
    <w:name w:val="index 5"/>
    <w:basedOn w:val="Normal"/>
    <w:next w:val="Normal"/>
    <w:autoRedefine/>
    <w:semiHidden/>
    <w:pPr>
      <w:tabs>
        <w:tab w:val="clear" w:pos="576"/>
        <w:tab w:val="clear" w:pos="1152"/>
        <w:tab w:val="clear" w:pos="1728"/>
        <w:tab w:val="clear" w:pos="5760"/>
        <w:tab w:val="clear" w:pos="7877"/>
      </w:tabs>
      <w:ind w:left="1200" w:hanging="240"/>
    </w:pPr>
  </w:style>
  <w:style w:type="paragraph" w:styleId="Index6">
    <w:name w:val="index 6"/>
    <w:basedOn w:val="Normal"/>
    <w:next w:val="Normal"/>
    <w:autoRedefine/>
    <w:semiHidden/>
    <w:pPr>
      <w:tabs>
        <w:tab w:val="clear" w:pos="576"/>
        <w:tab w:val="clear" w:pos="1152"/>
        <w:tab w:val="clear" w:pos="1728"/>
        <w:tab w:val="clear" w:pos="5760"/>
        <w:tab w:val="clear" w:pos="7877"/>
      </w:tabs>
      <w:ind w:left="1440" w:hanging="240"/>
    </w:pPr>
  </w:style>
  <w:style w:type="paragraph" w:styleId="Index7">
    <w:name w:val="index 7"/>
    <w:basedOn w:val="Normal"/>
    <w:next w:val="Normal"/>
    <w:autoRedefine/>
    <w:semiHidden/>
    <w:pPr>
      <w:tabs>
        <w:tab w:val="clear" w:pos="576"/>
        <w:tab w:val="clear" w:pos="1152"/>
        <w:tab w:val="clear" w:pos="1728"/>
        <w:tab w:val="clear" w:pos="5760"/>
        <w:tab w:val="clear" w:pos="7877"/>
      </w:tabs>
      <w:ind w:left="1680" w:hanging="240"/>
    </w:pPr>
  </w:style>
  <w:style w:type="paragraph" w:styleId="Index8">
    <w:name w:val="index 8"/>
    <w:basedOn w:val="Normal"/>
    <w:next w:val="Normal"/>
    <w:autoRedefine/>
    <w:semiHidden/>
    <w:pPr>
      <w:tabs>
        <w:tab w:val="clear" w:pos="576"/>
        <w:tab w:val="clear" w:pos="1152"/>
        <w:tab w:val="clear" w:pos="1728"/>
        <w:tab w:val="clear" w:pos="5760"/>
        <w:tab w:val="clear" w:pos="7877"/>
      </w:tabs>
      <w:ind w:left="1920" w:hanging="240"/>
    </w:pPr>
  </w:style>
  <w:style w:type="paragraph" w:styleId="Index9">
    <w:name w:val="index 9"/>
    <w:basedOn w:val="Normal"/>
    <w:next w:val="Normal"/>
    <w:autoRedefine/>
    <w:semiHidden/>
    <w:pPr>
      <w:tabs>
        <w:tab w:val="clear" w:pos="576"/>
        <w:tab w:val="clear" w:pos="1152"/>
        <w:tab w:val="clear" w:pos="1728"/>
        <w:tab w:val="clear" w:pos="5760"/>
        <w:tab w:val="clear" w:pos="7877"/>
      </w:tabs>
      <w:ind w:left="2160" w:hanging="240"/>
    </w:pPr>
  </w:style>
  <w:style w:type="paragraph" w:styleId="IndexHeading">
    <w:name w:val="index heading"/>
    <w:basedOn w:val="Normal"/>
    <w:next w:val="Index1"/>
    <w:semiHidden/>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styleId="TOC2">
    <w:name w:val="toc 2"/>
    <w:basedOn w:val="Normal"/>
    <w:next w:val="Normal"/>
    <w:autoRedefine/>
    <w:uiPriority w:val="39"/>
    <w:pPr>
      <w:tabs>
        <w:tab w:val="clear" w:pos="576"/>
        <w:tab w:val="clear" w:pos="1152"/>
        <w:tab w:val="clear" w:pos="1728"/>
        <w:tab w:val="clear" w:pos="5760"/>
        <w:tab w:val="clear" w:pos="7877"/>
        <w:tab w:val="left" w:pos="960"/>
        <w:tab w:val="right" w:leader="dot" w:pos="9620"/>
      </w:tabs>
      <w:spacing w:after="0" w:line="360" w:lineRule="auto"/>
      <w:ind w:left="238"/>
      <w:jc w:val="both"/>
    </w:pPr>
    <w:rPr>
      <w:noProof/>
    </w:rPr>
  </w:style>
  <w:style w:type="paragraph" w:styleId="TOC3">
    <w:name w:val="toc 3"/>
    <w:basedOn w:val="Normal"/>
    <w:next w:val="Normal"/>
    <w:autoRedefine/>
    <w:semiHidden/>
    <w:pPr>
      <w:tabs>
        <w:tab w:val="clear" w:pos="576"/>
        <w:tab w:val="clear" w:pos="1152"/>
        <w:tab w:val="clear" w:pos="1728"/>
        <w:tab w:val="clear" w:pos="5760"/>
        <w:tab w:val="clear" w:pos="7877"/>
        <w:tab w:val="left" w:pos="1361"/>
        <w:tab w:val="left" w:leader="dot" w:pos="9356"/>
      </w:tabs>
      <w:spacing w:after="0"/>
      <w:ind w:left="482"/>
    </w:pPr>
  </w:style>
  <w:style w:type="paragraph" w:styleId="TOC1">
    <w:name w:val="toc 1"/>
    <w:basedOn w:val="Normal"/>
    <w:next w:val="Normal"/>
    <w:autoRedefine/>
    <w:uiPriority w:val="39"/>
    <w:pPr>
      <w:tabs>
        <w:tab w:val="clear" w:pos="576"/>
        <w:tab w:val="clear" w:pos="1152"/>
        <w:tab w:val="clear" w:pos="1728"/>
        <w:tab w:val="clear" w:pos="5760"/>
        <w:tab w:val="clear" w:pos="7877"/>
        <w:tab w:val="left" w:pos="482"/>
        <w:tab w:val="right" w:leader="dot" w:pos="9620"/>
      </w:tabs>
      <w:spacing w:after="0" w:line="360" w:lineRule="auto"/>
    </w:pPr>
    <w:rPr>
      <w:b/>
      <w:noProof/>
      <w:sz w:val="24"/>
    </w:rPr>
  </w:style>
  <w:style w:type="paragraph" w:styleId="TOC4">
    <w:name w:val="toc 4"/>
    <w:basedOn w:val="Normal"/>
    <w:next w:val="Normal"/>
    <w:autoRedefine/>
    <w:semiHidden/>
    <w:pPr>
      <w:tabs>
        <w:tab w:val="clear" w:pos="576"/>
        <w:tab w:val="clear" w:pos="1152"/>
        <w:tab w:val="clear" w:pos="1728"/>
        <w:tab w:val="clear" w:pos="5760"/>
        <w:tab w:val="clear" w:pos="7877"/>
      </w:tabs>
      <w:ind w:left="720"/>
    </w:pPr>
  </w:style>
  <w:style w:type="paragraph" w:styleId="TOC5">
    <w:name w:val="toc 5"/>
    <w:basedOn w:val="Normal"/>
    <w:next w:val="Normal"/>
    <w:autoRedefine/>
    <w:semiHidden/>
    <w:pPr>
      <w:tabs>
        <w:tab w:val="clear" w:pos="576"/>
        <w:tab w:val="clear" w:pos="1152"/>
        <w:tab w:val="clear" w:pos="1728"/>
        <w:tab w:val="clear" w:pos="5760"/>
        <w:tab w:val="clear" w:pos="7877"/>
      </w:tabs>
      <w:ind w:left="960"/>
    </w:pPr>
  </w:style>
  <w:style w:type="paragraph" w:styleId="TOC6">
    <w:name w:val="toc 6"/>
    <w:basedOn w:val="Normal"/>
    <w:next w:val="Normal"/>
    <w:autoRedefine/>
    <w:semiHidden/>
    <w:pPr>
      <w:tabs>
        <w:tab w:val="clear" w:pos="576"/>
        <w:tab w:val="clear" w:pos="1152"/>
        <w:tab w:val="clear" w:pos="1728"/>
        <w:tab w:val="clear" w:pos="5760"/>
        <w:tab w:val="clear" w:pos="7877"/>
      </w:tabs>
      <w:ind w:left="1200"/>
    </w:pPr>
  </w:style>
  <w:style w:type="paragraph" w:styleId="TOC7">
    <w:name w:val="toc 7"/>
    <w:basedOn w:val="Normal"/>
    <w:next w:val="Normal"/>
    <w:autoRedefine/>
    <w:semiHidden/>
    <w:pPr>
      <w:tabs>
        <w:tab w:val="clear" w:pos="576"/>
        <w:tab w:val="clear" w:pos="1152"/>
        <w:tab w:val="clear" w:pos="1728"/>
        <w:tab w:val="clear" w:pos="5760"/>
        <w:tab w:val="clear" w:pos="7877"/>
      </w:tabs>
      <w:ind w:left="1440"/>
    </w:pPr>
  </w:style>
  <w:style w:type="paragraph" w:styleId="TOC8">
    <w:name w:val="toc 8"/>
    <w:basedOn w:val="Normal"/>
    <w:next w:val="Normal"/>
    <w:autoRedefine/>
    <w:semiHidden/>
    <w:pPr>
      <w:tabs>
        <w:tab w:val="clear" w:pos="576"/>
        <w:tab w:val="clear" w:pos="1152"/>
        <w:tab w:val="clear" w:pos="1728"/>
        <w:tab w:val="clear" w:pos="5760"/>
        <w:tab w:val="clear" w:pos="7877"/>
      </w:tabs>
      <w:ind w:left="1680"/>
    </w:pPr>
  </w:style>
  <w:style w:type="paragraph" w:styleId="NormalWeb">
    <w:name w:val="Normal (Web)"/>
    <w:basedOn w:val="Normal"/>
    <w:semiHidden/>
    <w:pPr>
      <w:tabs>
        <w:tab w:val="clear" w:pos="576"/>
        <w:tab w:val="clear" w:pos="1152"/>
        <w:tab w:val="clear" w:pos="1728"/>
        <w:tab w:val="clear" w:pos="5760"/>
        <w:tab w:val="clear" w:pos="7877"/>
      </w:tabs>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Guide Title Char"/>
    <w:rPr>
      <w:rFonts w:ascii="Arial" w:hAnsi="Arial" w:cs="Arial"/>
      <w:b/>
      <w:bCs/>
      <w:iCs/>
      <w:sz w:val="28"/>
      <w:szCs w:val="28"/>
      <w:lang w:eastAsia="en-US"/>
    </w:rPr>
  </w:style>
  <w:style w:type="character" w:customStyle="1" w:styleId="Heading3Char">
    <w:name w:val="Heading 3 Char"/>
    <w:rPr>
      <w:rFonts w:ascii="Arial" w:hAnsi="Arial" w:cs="Arial"/>
      <w:b/>
      <w:bCs/>
      <w:sz w:val="22"/>
      <w:szCs w:val="26"/>
      <w:lang w:eastAsia="en-US"/>
    </w:rPr>
  </w:style>
  <w:style w:type="character" w:customStyle="1" w:styleId="Heading4Char">
    <w:name w:val="Heading 4 Char"/>
    <w:rPr>
      <w:rFonts w:ascii="Arial" w:hAnsi="Arial"/>
      <w:bCs/>
      <w:i/>
      <w:sz w:val="22"/>
      <w:szCs w:val="28"/>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01F6"/>
    <w:rPr>
      <w:b/>
      <w:bCs/>
    </w:rPr>
  </w:style>
  <w:style w:type="character" w:customStyle="1" w:styleId="CommentTextChar">
    <w:name w:val="Comment Text Char"/>
    <w:link w:val="CommentText"/>
    <w:semiHidden/>
    <w:rsid w:val="009501F6"/>
    <w:rPr>
      <w:rFonts w:ascii="Arial" w:hAnsi="Arial"/>
      <w:lang w:eastAsia="en-US"/>
    </w:rPr>
  </w:style>
  <w:style w:type="character" w:customStyle="1" w:styleId="CommentSubjectChar">
    <w:name w:val="Comment Subject Char"/>
    <w:basedOn w:val="CommentTextChar"/>
    <w:link w:val="CommentSubject"/>
    <w:rsid w:val="009501F6"/>
    <w:rPr>
      <w:rFonts w:ascii="Arial" w:hAnsi="Arial"/>
      <w:lang w:eastAsia="en-US"/>
    </w:rPr>
  </w:style>
  <w:style w:type="paragraph" w:styleId="ListParagraph">
    <w:name w:val="List Paragraph"/>
    <w:basedOn w:val="Normal"/>
    <w:uiPriority w:val="34"/>
    <w:qFormat/>
    <w:rsid w:val="004A44CE"/>
    <w:pPr>
      <w:ind w:left="720"/>
    </w:pPr>
  </w:style>
  <w:style w:type="numbering" w:customStyle="1" w:styleId="Style1">
    <w:name w:val="Style1"/>
    <w:uiPriority w:val="99"/>
    <w:rsid w:val="00CE3939"/>
    <w:pPr>
      <w:numPr>
        <w:numId w:val="3"/>
      </w:numPr>
    </w:pPr>
  </w:style>
  <w:style w:type="character" w:customStyle="1" w:styleId="FooterChar">
    <w:name w:val="Footer Char"/>
    <w:link w:val="Footer"/>
    <w:uiPriority w:val="99"/>
    <w:rsid w:val="000B4DC2"/>
    <w:rPr>
      <w:rFonts w:ascii="Arial" w:hAnsi="Arial"/>
      <w:sz w:val="22"/>
      <w:szCs w:val="18"/>
      <w:lang w:eastAsia="en-US"/>
    </w:rPr>
  </w:style>
  <w:style w:type="table" w:styleId="TableGrid">
    <w:name w:val="Table Grid"/>
    <w:basedOn w:val="TableNormal"/>
    <w:uiPriority w:val="59"/>
    <w:rsid w:val="00721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2F3BD9"/>
    <w:rPr>
      <w:rFonts w:ascii="Arial" w:hAnsi="Arial"/>
      <w:sz w:val="22"/>
      <w:szCs w:val="24"/>
      <w:lang w:eastAsia="en-US"/>
    </w:rPr>
  </w:style>
  <w:style w:type="character" w:customStyle="1" w:styleId="BodyTextIndentChar">
    <w:name w:val="Body Text Indent Char"/>
    <w:link w:val="BodyTextIndent"/>
    <w:semiHidden/>
    <w:rsid w:val="002F3BD9"/>
    <w:rPr>
      <w:rFonts w:ascii="Arial" w:hAnsi="Arial"/>
      <w:color w:val="FF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2925">
      <w:bodyDiv w:val="1"/>
      <w:marLeft w:val="0"/>
      <w:marRight w:val="0"/>
      <w:marTop w:val="0"/>
      <w:marBottom w:val="0"/>
      <w:divBdr>
        <w:top w:val="none" w:sz="0" w:space="0" w:color="auto"/>
        <w:left w:val="none" w:sz="0" w:space="0" w:color="auto"/>
        <w:bottom w:val="none" w:sz="0" w:space="0" w:color="auto"/>
        <w:right w:val="none" w:sz="0" w:space="0" w:color="auto"/>
      </w:divBdr>
    </w:div>
    <w:div w:id="203255987">
      <w:bodyDiv w:val="1"/>
      <w:marLeft w:val="0"/>
      <w:marRight w:val="0"/>
      <w:marTop w:val="0"/>
      <w:marBottom w:val="0"/>
      <w:divBdr>
        <w:top w:val="none" w:sz="0" w:space="0" w:color="auto"/>
        <w:left w:val="none" w:sz="0" w:space="0" w:color="auto"/>
        <w:bottom w:val="none" w:sz="0" w:space="0" w:color="auto"/>
        <w:right w:val="none" w:sz="0" w:space="0" w:color="auto"/>
      </w:divBdr>
    </w:div>
    <w:div w:id="426389421">
      <w:bodyDiv w:val="1"/>
      <w:marLeft w:val="0"/>
      <w:marRight w:val="0"/>
      <w:marTop w:val="0"/>
      <w:marBottom w:val="0"/>
      <w:divBdr>
        <w:top w:val="none" w:sz="0" w:space="0" w:color="auto"/>
        <w:left w:val="none" w:sz="0" w:space="0" w:color="auto"/>
        <w:bottom w:val="none" w:sz="0" w:space="0" w:color="auto"/>
        <w:right w:val="none" w:sz="0" w:space="0" w:color="auto"/>
      </w:divBdr>
    </w:div>
    <w:div w:id="518665765">
      <w:bodyDiv w:val="1"/>
      <w:marLeft w:val="0"/>
      <w:marRight w:val="0"/>
      <w:marTop w:val="0"/>
      <w:marBottom w:val="0"/>
      <w:divBdr>
        <w:top w:val="none" w:sz="0" w:space="0" w:color="auto"/>
        <w:left w:val="none" w:sz="0" w:space="0" w:color="auto"/>
        <w:bottom w:val="none" w:sz="0" w:space="0" w:color="auto"/>
        <w:right w:val="none" w:sz="0" w:space="0" w:color="auto"/>
      </w:divBdr>
    </w:div>
    <w:div w:id="875240532">
      <w:bodyDiv w:val="1"/>
      <w:marLeft w:val="0"/>
      <w:marRight w:val="0"/>
      <w:marTop w:val="0"/>
      <w:marBottom w:val="0"/>
      <w:divBdr>
        <w:top w:val="none" w:sz="0" w:space="0" w:color="auto"/>
        <w:left w:val="none" w:sz="0" w:space="0" w:color="auto"/>
        <w:bottom w:val="none" w:sz="0" w:space="0" w:color="auto"/>
        <w:right w:val="none" w:sz="0" w:space="0" w:color="auto"/>
      </w:divBdr>
    </w:div>
    <w:div w:id="1393193495">
      <w:bodyDiv w:val="1"/>
      <w:marLeft w:val="0"/>
      <w:marRight w:val="0"/>
      <w:marTop w:val="0"/>
      <w:marBottom w:val="0"/>
      <w:divBdr>
        <w:top w:val="none" w:sz="0" w:space="0" w:color="auto"/>
        <w:left w:val="none" w:sz="0" w:space="0" w:color="auto"/>
        <w:bottom w:val="none" w:sz="0" w:space="0" w:color="auto"/>
        <w:right w:val="none" w:sz="0" w:space="0" w:color="auto"/>
      </w:divBdr>
    </w:div>
    <w:div w:id="1494443915">
      <w:bodyDiv w:val="1"/>
      <w:marLeft w:val="0"/>
      <w:marRight w:val="0"/>
      <w:marTop w:val="0"/>
      <w:marBottom w:val="0"/>
      <w:divBdr>
        <w:top w:val="none" w:sz="0" w:space="0" w:color="auto"/>
        <w:left w:val="none" w:sz="0" w:space="0" w:color="auto"/>
        <w:bottom w:val="none" w:sz="0" w:space="0" w:color="auto"/>
        <w:right w:val="none" w:sz="0" w:space="0" w:color="auto"/>
      </w:divBdr>
    </w:div>
    <w:div w:id="1595283490">
      <w:bodyDiv w:val="1"/>
      <w:marLeft w:val="0"/>
      <w:marRight w:val="0"/>
      <w:marTop w:val="0"/>
      <w:marBottom w:val="0"/>
      <w:divBdr>
        <w:top w:val="none" w:sz="0" w:space="0" w:color="auto"/>
        <w:left w:val="none" w:sz="0" w:space="0" w:color="auto"/>
        <w:bottom w:val="none" w:sz="0" w:space="0" w:color="auto"/>
        <w:right w:val="none" w:sz="0" w:space="0" w:color="auto"/>
      </w:divBdr>
    </w:div>
    <w:div w:id="1786657590">
      <w:bodyDiv w:val="1"/>
      <w:marLeft w:val="0"/>
      <w:marRight w:val="0"/>
      <w:marTop w:val="0"/>
      <w:marBottom w:val="0"/>
      <w:divBdr>
        <w:top w:val="none" w:sz="0" w:space="0" w:color="auto"/>
        <w:left w:val="none" w:sz="0" w:space="0" w:color="auto"/>
        <w:bottom w:val="none" w:sz="0" w:space="0" w:color="auto"/>
        <w:right w:val="none" w:sz="0" w:space="0" w:color="auto"/>
      </w:divBdr>
    </w:div>
    <w:div w:id="1963028235">
      <w:bodyDiv w:val="1"/>
      <w:marLeft w:val="0"/>
      <w:marRight w:val="0"/>
      <w:marTop w:val="0"/>
      <w:marBottom w:val="0"/>
      <w:divBdr>
        <w:top w:val="none" w:sz="0" w:space="0" w:color="auto"/>
        <w:left w:val="none" w:sz="0" w:space="0" w:color="auto"/>
        <w:bottom w:val="none" w:sz="0" w:space="0" w:color="auto"/>
        <w:right w:val="none" w:sz="0" w:space="0" w:color="auto"/>
      </w:divBdr>
    </w:div>
    <w:div w:id="2099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ial.reporting@admin.ox.ac.uk" TargetMode="External"/><Relationship Id="rId18" Type="http://schemas.openxmlformats.org/officeDocument/2006/relationships/hyperlink" Target="mailto:financial.reporting@admin.ox.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nance.web.ox.ac.uk/financial-accounting-guidance" TargetMode="External"/><Relationship Id="rId17" Type="http://schemas.openxmlformats.org/officeDocument/2006/relationships/hyperlink" Target="https://finance.admin.ox.ac.uk/divisional-finance-teams" TargetMode="External"/><Relationship Id="rId2" Type="http://schemas.openxmlformats.org/officeDocument/2006/relationships/numbering" Target="numbering.xml"/><Relationship Id="rId16" Type="http://schemas.openxmlformats.org/officeDocument/2006/relationships/hyperlink" Target="https://finance.web.ox.ac.uk/uo-project-status-and-activ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web.ox.ac.uk/donations" TargetMode="External"/><Relationship Id="rId5" Type="http://schemas.openxmlformats.org/officeDocument/2006/relationships/webSettings" Target="webSettings.xml"/><Relationship Id="rId15" Type="http://schemas.openxmlformats.org/officeDocument/2006/relationships/hyperlink" Target="https://finance.admin.ox.ac.uk/general-ledger-fsg-reports" TargetMode="External"/><Relationship Id="rId10" Type="http://schemas.openxmlformats.org/officeDocument/2006/relationships/hyperlink" Target="https://researchsupport.admin.ox.ac.uk/donations-for-resear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ance.admin.ox.ac.uk/financial-regulations" TargetMode="External"/><Relationship Id="rId14" Type="http://schemas.openxmlformats.org/officeDocument/2006/relationships/hyperlink" Target="https://finance.web.ox.ac.uk/uo-trial-balance-detailed-ne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80EC9-5B38-477B-B01F-EC0A3631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1278</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8769</CharactersWithSpaces>
  <SharedDoc>false</SharedDoc>
  <HLinks>
    <vt:vector size="54" baseType="variant">
      <vt:variant>
        <vt:i4>2555940</vt:i4>
      </vt:variant>
      <vt:variant>
        <vt:i4>21</vt:i4>
      </vt:variant>
      <vt:variant>
        <vt:i4>0</vt:i4>
      </vt:variant>
      <vt:variant>
        <vt:i4>5</vt:i4>
      </vt:variant>
      <vt:variant>
        <vt:lpwstr>https://finance.admin.ox.ac.uk/divisional-finance-teams</vt:lpwstr>
      </vt:variant>
      <vt:variant>
        <vt:lpwstr/>
      </vt:variant>
      <vt:variant>
        <vt:i4>2883621</vt:i4>
      </vt:variant>
      <vt:variant>
        <vt:i4>18</vt:i4>
      </vt:variant>
      <vt:variant>
        <vt:i4>0</vt:i4>
      </vt:variant>
      <vt:variant>
        <vt:i4>5</vt:i4>
      </vt:variant>
      <vt:variant>
        <vt:lpwstr>https://finance.web.ox.ac.uk/uo-project-status-and-activity</vt:lpwstr>
      </vt:variant>
      <vt:variant>
        <vt:lpwstr/>
      </vt:variant>
      <vt:variant>
        <vt:i4>8257633</vt:i4>
      </vt:variant>
      <vt:variant>
        <vt:i4>15</vt:i4>
      </vt:variant>
      <vt:variant>
        <vt:i4>0</vt:i4>
      </vt:variant>
      <vt:variant>
        <vt:i4>5</vt:i4>
      </vt:variant>
      <vt:variant>
        <vt:lpwstr>https://finance.web.ox.ac.uk/uo-trial-balance-detailed-new</vt:lpwstr>
      </vt:variant>
      <vt:variant>
        <vt:lpwstr/>
      </vt:variant>
      <vt:variant>
        <vt:i4>4849706</vt:i4>
      </vt:variant>
      <vt:variant>
        <vt:i4>12</vt:i4>
      </vt:variant>
      <vt:variant>
        <vt:i4>0</vt:i4>
      </vt:variant>
      <vt:variant>
        <vt:i4>5</vt:i4>
      </vt:variant>
      <vt:variant>
        <vt:lpwstr>mailto:financial.reporting@admin.ox.ac.uk</vt:lpwstr>
      </vt:variant>
      <vt:variant>
        <vt:lpwstr/>
      </vt:variant>
      <vt:variant>
        <vt:i4>7995497</vt:i4>
      </vt:variant>
      <vt:variant>
        <vt:i4>9</vt:i4>
      </vt:variant>
      <vt:variant>
        <vt:i4>0</vt:i4>
      </vt:variant>
      <vt:variant>
        <vt:i4>5</vt:i4>
      </vt:variant>
      <vt:variant>
        <vt:lpwstr>https://finance.web.ox.ac.uk/financial-accounting-guidance</vt:lpwstr>
      </vt:variant>
      <vt:variant>
        <vt:lpwstr/>
      </vt:variant>
      <vt:variant>
        <vt:i4>2162727</vt:i4>
      </vt:variant>
      <vt:variant>
        <vt:i4>6</vt:i4>
      </vt:variant>
      <vt:variant>
        <vt:i4>0</vt:i4>
      </vt:variant>
      <vt:variant>
        <vt:i4>5</vt:i4>
      </vt:variant>
      <vt:variant>
        <vt:lpwstr>https://finance.web.ox.ac.uk/donations</vt:lpwstr>
      </vt:variant>
      <vt:variant>
        <vt:lpwstr/>
      </vt:variant>
      <vt:variant>
        <vt:i4>5767253</vt:i4>
      </vt:variant>
      <vt:variant>
        <vt:i4>3</vt:i4>
      </vt:variant>
      <vt:variant>
        <vt:i4>0</vt:i4>
      </vt:variant>
      <vt:variant>
        <vt:i4>5</vt:i4>
      </vt:variant>
      <vt:variant>
        <vt:lpwstr>https://researchsupport.admin.ox.ac.uk/donations-for-research</vt:lpwstr>
      </vt:variant>
      <vt:variant>
        <vt:lpwstr/>
      </vt:variant>
      <vt:variant>
        <vt:i4>5832712</vt:i4>
      </vt:variant>
      <vt:variant>
        <vt:i4>0</vt:i4>
      </vt:variant>
      <vt:variant>
        <vt:i4>0</vt:i4>
      </vt:variant>
      <vt:variant>
        <vt:i4>5</vt:i4>
      </vt:variant>
      <vt:variant>
        <vt:lpwstr>https://finance.admin.ox.ac.uk/financial-regulations</vt:lpwstr>
      </vt:variant>
      <vt:variant>
        <vt:lpwstr/>
      </vt:variant>
      <vt:variant>
        <vt:i4>7995497</vt:i4>
      </vt:variant>
      <vt:variant>
        <vt:i4>0</vt:i4>
      </vt:variant>
      <vt:variant>
        <vt:i4>0</vt:i4>
      </vt:variant>
      <vt:variant>
        <vt:i4>5</vt:i4>
      </vt:variant>
      <vt:variant>
        <vt:lpwstr>https://finance.web.ox.ac.uk/financial-accounting-guidance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Kevin Davis</dc:creator>
  <cp:keywords/>
  <cp:lastModifiedBy>Genieve Boon</cp:lastModifiedBy>
  <cp:revision>4</cp:revision>
  <cp:lastPrinted>2012-05-29T10:14:00Z</cp:lastPrinted>
  <dcterms:created xsi:type="dcterms:W3CDTF">2022-06-08T07:21:00Z</dcterms:created>
  <dcterms:modified xsi:type="dcterms:W3CDTF">2022-06-30T14:33:00Z</dcterms:modified>
</cp:coreProperties>
</file>