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06B19" w14:textId="77777777" w:rsidR="005E5EE1" w:rsidRPr="00865720" w:rsidRDefault="00A61A93" w:rsidP="00865720">
      <w:pPr>
        <w:spacing w:after="0"/>
        <w:ind w:left="2268"/>
        <w:rPr>
          <w:rFonts w:cs="Arial"/>
          <w:b/>
          <w:sz w:val="52"/>
          <w:szCs w:val="52"/>
        </w:rPr>
      </w:pPr>
      <w:r w:rsidRPr="00865720">
        <w:rPr>
          <w:rFonts w:cs="Arial"/>
          <w:b/>
          <w:i/>
          <w:noProof/>
          <w:sz w:val="52"/>
          <w:szCs w:val="52"/>
          <w:lang w:eastAsia="en-GB"/>
        </w:rPr>
        <w:drawing>
          <wp:anchor distT="0" distB="0" distL="114300" distR="114300" simplePos="0" relativeHeight="251657728" behindDoc="0" locked="0" layoutInCell="1" allowOverlap="1" wp14:anchorId="40AB8786" wp14:editId="0F7AF759">
            <wp:simplePos x="0" y="0"/>
            <wp:positionH relativeFrom="column">
              <wp:posOffset>-17780</wp:posOffset>
            </wp:positionH>
            <wp:positionV relativeFrom="paragraph">
              <wp:posOffset>-168275</wp:posOffset>
            </wp:positionV>
            <wp:extent cx="1337310" cy="1334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31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EE1" w:rsidRPr="00865720">
        <w:rPr>
          <w:rFonts w:cs="Arial"/>
          <w:b/>
          <w:sz w:val="52"/>
          <w:szCs w:val="52"/>
        </w:rPr>
        <w:t xml:space="preserve">Accounting Guidance Notes: </w:t>
      </w:r>
      <w:r w:rsidR="005E5EE1" w:rsidRPr="00865720">
        <w:rPr>
          <w:rFonts w:cs="Arial"/>
          <w:b/>
          <w:sz w:val="52"/>
          <w:szCs w:val="52"/>
        </w:rPr>
        <w:br/>
        <w:t>Projects</w:t>
      </w:r>
    </w:p>
    <w:p w14:paraId="24E95156" w14:textId="77777777" w:rsidR="00CC7224" w:rsidRDefault="00CC7224">
      <w:pPr>
        <w:rPr>
          <w:b/>
          <w:bCs/>
          <w:iCs/>
          <w:sz w:val="28"/>
        </w:rPr>
      </w:pPr>
    </w:p>
    <w:p w14:paraId="25E21883" w14:textId="77777777" w:rsidR="00865720" w:rsidRDefault="00865720" w:rsidP="007211A8">
      <w:pPr>
        <w:spacing w:after="0"/>
        <w:rPr>
          <w:rFonts w:cs="Arial"/>
          <w:b/>
          <w:bCs/>
          <w:sz w:val="36"/>
          <w:szCs w:val="36"/>
        </w:rPr>
      </w:pPr>
    </w:p>
    <w:p w14:paraId="6DD327A0" w14:textId="77777777" w:rsidR="00D03B4F" w:rsidRDefault="00D03B4F" w:rsidP="007211A8">
      <w:pPr>
        <w:spacing w:after="0"/>
      </w:pPr>
      <w:r>
        <w:t xml:space="preserve">This guidance applies to all </w:t>
      </w:r>
      <w:r w:rsidR="007211A8">
        <w:t>activit</w:t>
      </w:r>
      <w:r w:rsidR="0012314E">
        <w:t>ies</w:t>
      </w:r>
      <w:r w:rsidR="007211A8">
        <w:t xml:space="preserve"> </w:t>
      </w:r>
      <w:r w:rsidR="002414BB">
        <w:t xml:space="preserve">managed </w:t>
      </w:r>
      <w:r w:rsidR="007211A8">
        <w:t xml:space="preserve">through the Oracle Projects </w:t>
      </w:r>
      <w:r>
        <w:t>module</w:t>
      </w:r>
      <w:r w:rsidR="0012314E">
        <w:t>, irrespective of project type</w:t>
      </w:r>
      <w:r>
        <w:t xml:space="preserve">. It highlights actions required to ensure </w:t>
      </w:r>
      <w:r w:rsidR="00013226">
        <w:t>that</w:t>
      </w:r>
      <w:r>
        <w:t xml:space="preserve"> </w:t>
      </w:r>
      <w:r w:rsidR="0012314E">
        <w:t>income and expenditure figures are accurate and in line with University policy and relevant accounting standards.</w:t>
      </w:r>
    </w:p>
    <w:p w14:paraId="58A41900" w14:textId="77777777" w:rsidR="00506C70" w:rsidRDefault="00506C70" w:rsidP="007211A8">
      <w:pPr>
        <w:spacing w:after="0"/>
      </w:pPr>
    </w:p>
    <w:p w14:paraId="2A5FFE93" w14:textId="77777777" w:rsidR="00506C70" w:rsidRPr="005E5EE1" w:rsidRDefault="00506C70" w:rsidP="005B6D21">
      <w:pPr>
        <w:pStyle w:val="Heading3"/>
        <w:numPr>
          <w:ilvl w:val="0"/>
          <w:numId w:val="0"/>
        </w:numPr>
        <w:spacing w:before="0" w:after="0"/>
        <w:rPr>
          <w:color w:val="000000"/>
          <w:szCs w:val="22"/>
        </w:rPr>
      </w:pPr>
      <w:r w:rsidRPr="005E5EE1">
        <w:rPr>
          <w:color w:val="000000"/>
          <w:szCs w:val="22"/>
        </w:rPr>
        <w:t>Who to contact if you have a query</w:t>
      </w:r>
    </w:p>
    <w:p w14:paraId="3FB6249F" w14:textId="77777777" w:rsidR="00506C70" w:rsidRDefault="00506C70" w:rsidP="00506C70">
      <w:pPr>
        <w:spacing w:after="0"/>
      </w:pPr>
      <w:r>
        <w:t xml:space="preserve">Please contact </w:t>
      </w:r>
      <w:r w:rsidR="000616DC">
        <w:t xml:space="preserve">Samuel </w:t>
      </w:r>
      <w:proofErr w:type="spellStart"/>
      <w:r w:rsidR="000616DC">
        <w:t>Hannis</w:t>
      </w:r>
      <w:proofErr w:type="spellEnd"/>
      <w:r>
        <w:t xml:space="preserve"> (</w:t>
      </w:r>
      <w:hyperlink r:id="rId9" w:history="1">
        <w:r w:rsidR="00FA40D2">
          <w:rPr>
            <w:rStyle w:val="Hyperlink"/>
          </w:rPr>
          <w:t>samuel.hannis</w:t>
        </w:r>
        <w:r w:rsidR="00FA40D2" w:rsidRPr="00EC3681">
          <w:rPr>
            <w:rStyle w:val="Hyperlink"/>
          </w:rPr>
          <w:t>@admin.ox.ac.uk</w:t>
        </w:r>
      </w:hyperlink>
      <w:r w:rsidR="005710E2">
        <w:t>)</w:t>
      </w:r>
    </w:p>
    <w:p w14:paraId="49A7ABB9" w14:textId="77777777" w:rsidR="007211A8" w:rsidRDefault="007211A8" w:rsidP="007211A8">
      <w:pPr>
        <w:spacing w:after="0"/>
      </w:pPr>
    </w:p>
    <w:tbl>
      <w:tblPr>
        <w:tblW w:w="0" w:type="auto"/>
        <w:shd w:val="clear" w:color="auto" w:fill="D9D9D9"/>
        <w:tblLook w:val="04A0" w:firstRow="1" w:lastRow="0" w:firstColumn="1" w:lastColumn="0" w:noHBand="0" w:noVBand="1"/>
      </w:tblPr>
      <w:tblGrid>
        <w:gridCol w:w="9630"/>
      </w:tblGrid>
      <w:tr w:rsidR="00506C70" w:rsidRPr="005E5EE1" w14:paraId="13D8E330" w14:textId="77777777" w:rsidTr="005E5EE1">
        <w:tc>
          <w:tcPr>
            <w:tcW w:w="9846" w:type="dxa"/>
            <w:shd w:val="clear" w:color="auto" w:fill="D9D9D9"/>
          </w:tcPr>
          <w:p w14:paraId="4073A861" w14:textId="77777777" w:rsidR="007211A8" w:rsidRPr="005E5EE1" w:rsidRDefault="007211A8" w:rsidP="005E5EE1">
            <w:pPr>
              <w:pStyle w:val="Heading3"/>
              <w:numPr>
                <w:ilvl w:val="0"/>
                <w:numId w:val="0"/>
              </w:numPr>
              <w:spacing w:before="0" w:after="0"/>
              <w:rPr>
                <w:color w:val="000000"/>
                <w:szCs w:val="22"/>
              </w:rPr>
            </w:pPr>
            <w:r w:rsidRPr="005E5EE1">
              <w:rPr>
                <w:color w:val="000000"/>
              </w:rPr>
              <w:br/>
            </w:r>
            <w:r w:rsidRPr="005E5EE1">
              <w:rPr>
                <w:color w:val="000000"/>
                <w:szCs w:val="22"/>
              </w:rPr>
              <w:t>University Policy</w:t>
            </w:r>
          </w:p>
          <w:p w14:paraId="300F78B7" w14:textId="77777777" w:rsidR="007211A8" w:rsidRPr="005E5EE1" w:rsidRDefault="007211A8" w:rsidP="00F47738">
            <w:pPr>
              <w:numPr>
                <w:ilvl w:val="0"/>
                <w:numId w:val="6"/>
              </w:numPr>
              <w:spacing w:after="0"/>
              <w:ind w:left="567"/>
              <w:rPr>
                <w:color w:val="000000"/>
              </w:rPr>
            </w:pPr>
            <w:r w:rsidRPr="005E5EE1">
              <w:rPr>
                <w:color w:val="000000"/>
              </w:rPr>
              <w:t xml:space="preserve">All expenditure must be accounted for in the year in which it was incurred. </w:t>
            </w:r>
          </w:p>
          <w:p w14:paraId="5C96D866" w14:textId="77777777" w:rsidR="007211A8" w:rsidRPr="005E5EE1" w:rsidRDefault="007211A8" w:rsidP="00F47738">
            <w:pPr>
              <w:numPr>
                <w:ilvl w:val="0"/>
                <w:numId w:val="6"/>
              </w:numPr>
              <w:spacing w:after="0"/>
              <w:ind w:left="567"/>
              <w:rPr>
                <w:color w:val="000000"/>
              </w:rPr>
            </w:pPr>
            <w:r w:rsidRPr="005E5EE1">
              <w:rPr>
                <w:color w:val="000000"/>
              </w:rPr>
              <w:t xml:space="preserve">This means that particular attention must be paid to the expenditure item dates on project journal entries.  </w:t>
            </w:r>
          </w:p>
          <w:p w14:paraId="21F8ABAE" w14:textId="77777777" w:rsidR="007211A8" w:rsidRPr="005E5EE1" w:rsidRDefault="007211A8" w:rsidP="00F47738">
            <w:pPr>
              <w:numPr>
                <w:ilvl w:val="0"/>
                <w:numId w:val="6"/>
              </w:numPr>
              <w:spacing w:after="0"/>
              <w:ind w:left="567"/>
              <w:rPr>
                <w:color w:val="000000"/>
              </w:rPr>
            </w:pPr>
            <w:r w:rsidRPr="005E5EE1">
              <w:rPr>
                <w:color w:val="000000"/>
              </w:rPr>
              <w:t>The Projects module closes for each month, usually starting at 1pm, on the second working date of the following month. It is later at year end (see year end timetable).</w:t>
            </w:r>
            <w:r w:rsidRPr="005E5EE1">
              <w:rPr>
                <w:color w:val="000000"/>
              </w:rPr>
              <w:br/>
            </w:r>
          </w:p>
          <w:p w14:paraId="5BDEF7E5" w14:textId="77777777" w:rsidR="007211A8" w:rsidRPr="005E5EE1" w:rsidRDefault="007211A8" w:rsidP="005E5EE1">
            <w:pPr>
              <w:spacing w:after="0"/>
              <w:rPr>
                <w:color w:val="000000"/>
              </w:rPr>
            </w:pPr>
          </w:p>
        </w:tc>
      </w:tr>
    </w:tbl>
    <w:p w14:paraId="0290577F" w14:textId="77777777" w:rsidR="00D03B4F" w:rsidRPr="007E5156" w:rsidRDefault="00D03B4F" w:rsidP="007211A8">
      <w:pPr>
        <w:spacing w:after="0"/>
      </w:pPr>
    </w:p>
    <w:p w14:paraId="7679594F" w14:textId="77777777" w:rsidR="005B6D21" w:rsidRDefault="005B6D21" w:rsidP="007211A8">
      <w:pPr>
        <w:pStyle w:val="Heading3"/>
        <w:numPr>
          <w:ilvl w:val="0"/>
          <w:numId w:val="0"/>
        </w:numPr>
        <w:spacing w:before="0" w:after="0"/>
        <w:ind w:left="720" w:hanging="720"/>
        <w:rPr>
          <w:sz w:val="36"/>
          <w:szCs w:val="36"/>
        </w:rPr>
      </w:pPr>
    </w:p>
    <w:p w14:paraId="2864120E" w14:textId="77777777" w:rsidR="00D03B4F" w:rsidRPr="00506C70" w:rsidRDefault="00CF1829" w:rsidP="007211A8">
      <w:pPr>
        <w:pStyle w:val="Heading3"/>
        <w:numPr>
          <w:ilvl w:val="0"/>
          <w:numId w:val="0"/>
        </w:numPr>
        <w:spacing w:before="0" w:after="0"/>
        <w:ind w:left="720" w:hanging="720"/>
        <w:rPr>
          <w:sz w:val="36"/>
          <w:szCs w:val="36"/>
        </w:rPr>
      </w:pPr>
      <w:r w:rsidRPr="00506C70">
        <w:rPr>
          <w:sz w:val="36"/>
          <w:szCs w:val="36"/>
        </w:rPr>
        <w:t>A</w:t>
      </w:r>
      <w:r w:rsidR="00D03B4F" w:rsidRPr="00506C70">
        <w:rPr>
          <w:sz w:val="36"/>
          <w:szCs w:val="36"/>
        </w:rPr>
        <w:t xml:space="preserve">llocating </w:t>
      </w:r>
      <w:r w:rsidR="005B6D21">
        <w:rPr>
          <w:sz w:val="36"/>
          <w:szCs w:val="36"/>
        </w:rPr>
        <w:t>C</w:t>
      </w:r>
      <w:r w:rsidR="00D03B4F" w:rsidRPr="00506C70">
        <w:rPr>
          <w:sz w:val="36"/>
          <w:szCs w:val="36"/>
        </w:rPr>
        <w:t xml:space="preserve">osts </w:t>
      </w:r>
      <w:r w:rsidR="005B6D21">
        <w:rPr>
          <w:sz w:val="36"/>
          <w:szCs w:val="36"/>
        </w:rPr>
        <w:t>C</w:t>
      </w:r>
      <w:r w:rsidR="00D03B4F" w:rsidRPr="00506C70">
        <w:rPr>
          <w:sz w:val="36"/>
          <w:szCs w:val="36"/>
        </w:rPr>
        <w:t>orrectly</w:t>
      </w:r>
    </w:p>
    <w:p w14:paraId="2215724A" w14:textId="77777777" w:rsidR="0012314E" w:rsidRDefault="0012314E" w:rsidP="00CF1829">
      <w:pPr>
        <w:spacing w:after="0"/>
      </w:pPr>
    </w:p>
    <w:p w14:paraId="2BCE3423" w14:textId="77777777" w:rsidR="0012314E" w:rsidRDefault="0012314E" w:rsidP="00CF1829">
      <w:pPr>
        <w:spacing w:after="0"/>
      </w:pPr>
      <w:r>
        <w:t xml:space="preserve">Projects journals will be processed successfully and in time for year-end, if appropriate Expenditure Item Dates are selected, </w:t>
      </w:r>
      <w:r w:rsidR="00013226">
        <w:t xml:space="preserve">projects have </w:t>
      </w:r>
      <w:r w:rsidR="00F374A8">
        <w:t>sufficient funds</w:t>
      </w:r>
      <w:r>
        <w:t xml:space="preserve"> to absorb the new costs</w:t>
      </w:r>
      <w:r w:rsidR="005F2E3C">
        <w:t>, and journal batches are</w:t>
      </w:r>
      <w:r w:rsidR="00F374A8">
        <w:t xml:space="preserve"> submitted and released on time</w:t>
      </w:r>
      <w:r>
        <w:t xml:space="preserve">. </w:t>
      </w:r>
    </w:p>
    <w:p w14:paraId="20B2DF7C" w14:textId="77777777" w:rsidR="0012314E" w:rsidRDefault="0012314E" w:rsidP="00CF1829">
      <w:pPr>
        <w:spacing w:after="0"/>
      </w:pPr>
    </w:p>
    <w:p w14:paraId="09345771" w14:textId="184B1573" w:rsidR="00D03B4F" w:rsidRDefault="005B5A78" w:rsidP="00CF1829">
      <w:pPr>
        <w:spacing w:after="0"/>
      </w:pPr>
      <w:r>
        <w:t>T</w:t>
      </w:r>
      <w:r w:rsidR="00D03B4F">
        <w:t xml:space="preserve">he </w:t>
      </w:r>
      <w:r w:rsidR="0007502E">
        <w:t>E</w:t>
      </w:r>
      <w:r w:rsidR="00D03B4F">
        <w:t xml:space="preserve">nding </w:t>
      </w:r>
      <w:r w:rsidR="0007502E">
        <w:t>D</w:t>
      </w:r>
      <w:r w:rsidR="00D03B4F">
        <w:t xml:space="preserve">ate for the Projects journal batch defaults to the Sunday following the date </w:t>
      </w:r>
      <w:r w:rsidR="0007502E">
        <w:t xml:space="preserve">on which the journal is created. </w:t>
      </w:r>
      <w:r w:rsidR="00D03B4F">
        <w:t xml:space="preserve">Oracle </w:t>
      </w:r>
      <w:r w:rsidR="0007502E">
        <w:t xml:space="preserve">Projects </w:t>
      </w:r>
      <w:r w:rsidR="00D03B4F">
        <w:t xml:space="preserve">automatically populates this as the Expenditure Item </w:t>
      </w:r>
      <w:r w:rsidR="0007502E">
        <w:t>D</w:t>
      </w:r>
      <w:r w:rsidR="00D03B4F">
        <w:t xml:space="preserve">ate (EID) on individual transaction lines. </w:t>
      </w:r>
      <w:r w:rsidR="005B483C">
        <w:t>For example</w:t>
      </w:r>
      <w:r w:rsidR="00D03B4F">
        <w:t xml:space="preserve">, if you are entering journals between </w:t>
      </w:r>
      <w:r w:rsidR="0007502E">
        <w:t>1</w:t>
      </w:r>
      <w:r w:rsidR="0007502E" w:rsidRPr="0007502E">
        <w:rPr>
          <w:vertAlign w:val="superscript"/>
        </w:rPr>
        <w:t>st</w:t>
      </w:r>
      <w:r w:rsidR="0007502E">
        <w:t xml:space="preserve"> August and </w:t>
      </w:r>
      <w:r w:rsidR="00E476A0">
        <w:t>4</w:t>
      </w:r>
      <w:r w:rsidR="0007502E" w:rsidRPr="0007502E">
        <w:rPr>
          <w:vertAlign w:val="superscript"/>
        </w:rPr>
        <w:t>th</w:t>
      </w:r>
      <w:r w:rsidR="0007502E">
        <w:t xml:space="preserve"> August (when the </w:t>
      </w:r>
      <w:r w:rsidR="00D03B4F">
        <w:t xml:space="preserve">module closes </w:t>
      </w:r>
      <w:r w:rsidR="00924D4F">
        <w:t xml:space="preserve">is due to close </w:t>
      </w:r>
      <w:r w:rsidR="0007502E">
        <w:t xml:space="preserve">for Financial Year </w:t>
      </w:r>
      <w:r w:rsidR="008C5460">
        <w:t>202</w:t>
      </w:r>
      <w:r w:rsidR="00E476A0">
        <w:t>1</w:t>
      </w:r>
      <w:r w:rsidR="00FA40D2">
        <w:t>/</w:t>
      </w:r>
      <w:r w:rsidR="008C5460">
        <w:t>2</w:t>
      </w:r>
      <w:r w:rsidR="00E476A0">
        <w:t>2</w:t>
      </w:r>
      <w:r w:rsidR="0007502E">
        <w:t xml:space="preserve">) you will note that </w:t>
      </w:r>
      <w:r w:rsidR="00FF434C">
        <w:t>both the</w:t>
      </w:r>
      <w:r w:rsidR="0007502E">
        <w:t xml:space="preserve"> Ending Date </w:t>
      </w:r>
      <w:r w:rsidR="00FF434C">
        <w:t xml:space="preserve">and the Expenditure Item Dates will </w:t>
      </w:r>
      <w:r w:rsidR="005B483C">
        <w:t>initially</w:t>
      </w:r>
      <w:r w:rsidR="00FF434C">
        <w:t xml:space="preserve"> default to Sunday</w:t>
      </w:r>
      <w:proofErr w:type="gramStart"/>
      <w:r w:rsidR="00FF434C">
        <w:t>,</w:t>
      </w:r>
      <w:r w:rsidR="00E476A0">
        <w:t>7</w:t>
      </w:r>
      <w:r w:rsidR="00FF434C" w:rsidRPr="00FF434C">
        <w:rPr>
          <w:vertAlign w:val="superscript"/>
        </w:rPr>
        <w:t>th</w:t>
      </w:r>
      <w:proofErr w:type="gramEnd"/>
      <w:r w:rsidR="00FF434C">
        <w:t xml:space="preserve"> August</w:t>
      </w:r>
      <w:r w:rsidR="0007502E">
        <w:t xml:space="preserve">. </w:t>
      </w:r>
      <w:r w:rsidR="005B483C">
        <w:t>If y</w:t>
      </w:r>
      <w:r w:rsidR="00FF434C">
        <w:t xml:space="preserve">ou </w:t>
      </w:r>
      <w:r w:rsidR="005B483C">
        <w:t xml:space="preserve">want </w:t>
      </w:r>
      <w:r w:rsidR="00FF434C">
        <w:t>you</w:t>
      </w:r>
      <w:r w:rsidR="005B483C">
        <w:t>r</w:t>
      </w:r>
      <w:r w:rsidR="00FF434C">
        <w:t xml:space="preserve"> transactions to be accounted for in Financial Year </w:t>
      </w:r>
      <w:r w:rsidR="008C5460">
        <w:t>202</w:t>
      </w:r>
      <w:r w:rsidR="00E476A0">
        <w:t>1</w:t>
      </w:r>
      <w:r w:rsidR="00FA40D2">
        <w:t>/2</w:t>
      </w:r>
      <w:r w:rsidR="00E476A0">
        <w:t>2</w:t>
      </w:r>
      <w:r w:rsidR="00FF434C">
        <w:t xml:space="preserve"> you will need to manually change the Expenditure Item Dates to 31-JUL-</w:t>
      </w:r>
      <w:r w:rsidR="008C5460">
        <w:t>202</w:t>
      </w:r>
      <w:r w:rsidR="00E476A0">
        <w:t>2</w:t>
      </w:r>
      <w:r w:rsidR="00FF434C">
        <w:t>, or earlier.</w:t>
      </w:r>
    </w:p>
    <w:p w14:paraId="380B30CA" w14:textId="27F8F85B" w:rsidR="00CF1829" w:rsidRDefault="00CF1829" w:rsidP="00CF1829">
      <w:pPr>
        <w:spacing w:after="0"/>
      </w:pPr>
    </w:p>
    <w:p w14:paraId="205B8BB4" w14:textId="77777777" w:rsidR="00CF1829" w:rsidRDefault="005B5A78" w:rsidP="00CF1829">
      <w:pPr>
        <w:spacing w:after="0"/>
      </w:pPr>
      <w:r>
        <w:t>Items can fail funds-</w:t>
      </w:r>
      <w:r w:rsidR="00D03B4F">
        <w:t xml:space="preserve">checking where overheads have not been allowed for. </w:t>
      </w:r>
      <w:r w:rsidR="0097253A">
        <w:t>Therefore, it is important to c</w:t>
      </w:r>
      <w:r w:rsidR="00D03B4F">
        <w:t xml:space="preserve">onsider the impact of burdening on any </w:t>
      </w:r>
      <w:r w:rsidR="00D03B4F" w:rsidRPr="00177D3C">
        <w:t xml:space="preserve">costs </w:t>
      </w:r>
      <w:r w:rsidR="00CF1829" w:rsidRPr="00BB097D">
        <w:rPr>
          <w:i/>
        </w:rPr>
        <w:t>before</w:t>
      </w:r>
      <w:r w:rsidR="00CF1829" w:rsidRPr="00177D3C">
        <w:t xml:space="preserve"> </w:t>
      </w:r>
      <w:r w:rsidR="0097253A">
        <w:t xml:space="preserve">journals are </w:t>
      </w:r>
      <w:r w:rsidR="00A819C7">
        <w:t>posted</w:t>
      </w:r>
      <w:r w:rsidR="00D03B4F">
        <w:t xml:space="preserve">. For example, </w:t>
      </w:r>
      <w:r w:rsidR="005F2E3C">
        <w:t>if you want to post £100 to a project with a 50% recovery rate you first need to ensure that the project has a remaining budget of at least £150.</w:t>
      </w:r>
    </w:p>
    <w:p w14:paraId="730B3574" w14:textId="77777777" w:rsidR="005F2E3C" w:rsidRDefault="005F2E3C" w:rsidP="00CF1829">
      <w:pPr>
        <w:spacing w:after="0"/>
      </w:pPr>
    </w:p>
    <w:p w14:paraId="100EA4C5" w14:textId="47836E08" w:rsidR="00D03B4F" w:rsidRDefault="005F2E3C" w:rsidP="005F2E3C">
      <w:pPr>
        <w:spacing w:after="0"/>
      </w:pPr>
      <w:r>
        <w:t>All Projects journals relating to Jul-</w:t>
      </w:r>
      <w:r w:rsidR="005710E2">
        <w:t>2</w:t>
      </w:r>
      <w:r w:rsidR="00E476A0">
        <w:t>2</w:t>
      </w:r>
      <w:r w:rsidR="005710E2">
        <w:t xml:space="preserve"> </w:t>
      </w:r>
      <w:r>
        <w:t xml:space="preserve">will need to be submitted </w:t>
      </w:r>
      <w:r w:rsidRPr="005B483C">
        <w:rPr>
          <w:i/>
        </w:rPr>
        <w:t>and</w:t>
      </w:r>
      <w:r>
        <w:t xml:space="preserve"> released by </w:t>
      </w:r>
      <w:r w:rsidR="008004CD">
        <w:t xml:space="preserve">3pm on </w:t>
      </w:r>
      <w:r w:rsidR="008C5460">
        <w:t xml:space="preserve">Thursday </w:t>
      </w:r>
      <w:r w:rsidR="00E476A0">
        <w:t>4</w:t>
      </w:r>
      <w:r w:rsidRPr="005B483C">
        <w:rPr>
          <w:vertAlign w:val="superscript"/>
        </w:rPr>
        <w:t>th</w:t>
      </w:r>
      <w:r>
        <w:t xml:space="preserve"> August. Journal batches that remain unreleased at 3pm on the day on which the Projects module closes will be deleted, otherwise it will not be possible to close the module. </w:t>
      </w:r>
    </w:p>
    <w:p w14:paraId="1CD3D656" w14:textId="77777777" w:rsidR="00FA40D2" w:rsidRDefault="00FA40D2" w:rsidP="005F2E3C">
      <w:pPr>
        <w:spacing w:after="0"/>
      </w:pPr>
    </w:p>
    <w:p w14:paraId="05D260A3" w14:textId="77777777" w:rsidR="005F2E3C" w:rsidRDefault="005F2E3C" w:rsidP="005F2E3C">
      <w:pPr>
        <w:spacing w:after="0"/>
      </w:pPr>
    </w:p>
    <w:p w14:paraId="72D1F3F3" w14:textId="77777777" w:rsidR="005F2E3C" w:rsidRDefault="005F2E3C" w:rsidP="005F2E3C">
      <w:pPr>
        <w:spacing w:after="0"/>
      </w:pPr>
    </w:p>
    <w:p w14:paraId="7B88ADF4" w14:textId="77777777" w:rsidR="005B6D21" w:rsidRDefault="005B6D21" w:rsidP="00506C70">
      <w:pPr>
        <w:pStyle w:val="Heading3"/>
        <w:numPr>
          <w:ilvl w:val="0"/>
          <w:numId w:val="0"/>
        </w:numPr>
        <w:tabs>
          <w:tab w:val="clear" w:pos="576"/>
        </w:tabs>
        <w:spacing w:before="0" w:after="0"/>
        <w:ind w:hanging="11"/>
        <w:rPr>
          <w:sz w:val="36"/>
          <w:szCs w:val="36"/>
        </w:rPr>
      </w:pPr>
    </w:p>
    <w:p w14:paraId="4586736F" w14:textId="77777777" w:rsidR="00D03B4F" w:rsidRPr="00506C70" w:rsidRDefault="005B6D21" w:rsidP="00506C70">
      <w:pPr>
        <w:pStyle w:val="Heading3"/>
        <w:numPr>
          <w:ilvl w:val="0"/>
          <w:numId w:val="0"/>
        </w:numPr>
        <w:tabs>
          <w:tab w:val="clear" w:pos="576"/>
        </w:tabs>
        <w:spacing w:before="0" w:after="0"/>
        <w:ind w:hanging="11"/>
        <w:rPr>
          <w:sz w:val="36"/>
          <w:szCs w:val="36"/>
        </w:rPr>
      </w:pPr>
      <w:r>
        <w:rPr>
          <w:sz w:val="36"/>
          <w:szCs w:val="36"/>
        </w:rPr>
        <w:t>Charging C</w:t>
      </w:r>
      <w:r w:rsidR="00D03B4F" w:rsidRPr="00506C70">
        <w:rPr>
          <w:sz w:val="36"/>
          <w:szCs w:val="36"/>
        </w:rPr>
        <w:t xml:space="preserve">osts to the </w:t>
      </w:r>
      <w:r>
        <w:rPr>
          <w:sz w:val="36"/>
          <w:szCs w:val="36"/>
        </w:rPr>
        <w:t>C</w:t>
      </w:r>
      <w:r w:rsidR="00D03B4F" w:rsidRPr="00506C70">
        <w:rPr>
          <w:sz w:val="36"/>
          <w:szCs w:val="36"/>
        </w:rPr>
        <w:t xml:space="preserve">orrect </w:t>
      </w:r>
      <w:r>
        <w:rPr>
          <w:sz w:val="36"/>
          <w:szCs w:val="36"/>
        </w:rPr>
        <w:t>F</w:t>
      </w:r>
      <w:r w:rsidR="00D03B4F" w:rsidRPr="00506C70">
        <w:rPr>
          <w:sz w:val="36"/>
          <w:szCs w:val="36"/>
        </w:rPr>
        <w:t xml:space="preserve">inancial </w:t>
      </w:r>
      <w:r>
        <w:rPr>
          <w:sz w:val="36"/>
          <w:szCs w:val="36"/>
        </w:rPr>
        <w:t>Y</w:t>
      </w:r>
      <w:r w:rsidR="00D03B4F" w:rsidRPr="00506C70">
        <w:rPr>
          <w:sz w:val="36"/>
          <w:szCs w:val="36"/>
        </w:rPr>
        <w:t>ear</w:t>
      </w:r>
    </w:p>
    <w:p w14:paraId="520744A9" w14:textId="77777777" w:rsidR="005B5A78" w:rsidRDefault="005B5A78" w:rsidP="007211A8">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14:paraId="325E9F8D" w14:textId="77777777" w:rsidTr="005E5EE1">
        <w:tc>
          <w:tcPr>
            <w:tcW w:w="9846" w:type="dxa"/>
            <w:tcBorders>
              <w:top w:val="nil"/>
              <w:left w:val="nil"/>
              <w:bottom w:val="nil"/>
              <w:right w:val="nil"/>
            </w:tcBorders>
            <w:shd w:val="clear" w:color="auto" w:fill="D9D9D9"/>
          </w:tcPr>
          <w:p w14:paraId="7BE1F157" w14:textId="77777777" w:rsidR="00AC3EF3" w:rsidRPr="005E5EE1" w:rsidRDefault="00AC3EF3" w:rsidP="005E5EE1">
            <w:pPr>
              <w:pStyle w:val="Heading3"/>
              <w:numPr>
                <w:ilvl w:val="0"/>
                <w:numId w:val="0"/>
              </w:numPr>
              <w:spacing w:before="0" w:after="0"/>
              <w:rPr>
                <w:szCs w:val="22"/>
              </w:rPr>
            </w:pPr>
          </w:p>
          <w:p w14:paraId="25F490AA" w14:textId="77777777" w:rsidR="00AC3EF3" w:rsidRPr="00AC3EF3" w:rsidRDefault="00AC3EF3" w:rsidP="005E5EE1">
            <w:pPr>
              <w:pStyle w:val="Heading3"/>
              <w:numPr>
                <w:ilvl w:val="0"/>
                <w:numId w:val="0"/>
              </w:numPr>
              <w:spacing w:before="0" w:after="0"/>
            </w:pPr>
            <w:r w:rsidRPr="005E5EE1">
              <w:rPr>
                <w:szCs w:val="22"/>
              </w:rPr>
              <w:t>University Policy</w:t>
            </w:r>
            <w:r w:rsidRPr="005E5EE1">
              <w:rPr>
                <w:sz w:val="28"/>
                <w:szCs w:val="28"/>
              </w:rPr>
              <w:br/>
            </w:r>
            <w:r w:rsidRPr="005E5EE1">
              <w:rPr>
                <w:b w:val="0"/>
              </w:rPr>
              <w:t>Research expenditure should be allocated to the correct accounting period.</w:t>
            </w:r>
            <w:r w:rsidR="00506C70" w:rsidRPr="005E5EE1">
              <w:rPr>
                <w:b w:val="0"/>
              </w:rPr>
              <w:br/>
            </w:r>
          </w:p>
        </w:tc>
      </w:tr>
    </w:tbl>
    <w:p w14:paraId="731BBD3C" w14:textId="77777777" w:rsidR="00AC3EF3" w:rsidRPr="00AC3EF3" w:rsidRDefault="00AC3EF3" w:rsidP="00AC3EF3">
      <w:pPr>
        <w:pStyle w:val="Heading3"/>
        <w:numPr>
          <w:ilvl w:val="0"/>
          <w:numId w:val="0"/>
        </w:numPr>
        <w:spacing w:before="0" w:after="0"/>
      </w:pPr>
    </w:p>
    <w:p w14:paraId="0A379EE9" w14:textId="77777777" w:rsidR="00D03B4F" w:rsidRDefault="00D03B4F" w:rsidP="007211A8">
      <w:pPr>
        <w:pStyle w:val="ListBullet"/>
        <w:numPr>
          <w:ilvl w:val="0"/>
          <w:numId w:val="0"/>
        </w:numPr>
        <w:spacing w:after="0"/>
      </w:pPr>
      <w:r>
        <w:t xml:space="preserve">If costs are not allocated in the correct year, there is a risk </w:t>
      </w:r>
      <w:r w:rsidR="00F374A8">
        <w:t>that</w:t>
      </w:r>
      <w:r>
        <w:t xml:space="preserve"> costs and revenue </w:t>
      </w:r>
      <w:r w:rsidR="00F374A8">
        <w:t xml:space="preserve">will be overstated in the University’s </w:t>
      </w:r>
      <w:r>
        <w:t xml:space="preserve">accounts. When this happens, it is likely that the </w:t>
      </w:r>
      <w:proofErr w:type="spellStart"/>
      <w:r>
        <w:t>year end</w:t>
      </w:r>
      <w:proofErr w:type="spellEnd"/>
      <w:r>
        <w:t xml:space="preserve"> auditors will increase the amount of testing they perform across departments.</w:t>
      </w:r>
    </w:p>
    <w:p w14:paraId="12D80AB8" w14:textId="77777777" w:rsidR="00AC3EF3" w:rsidRDefault="00AC3EF3" w:rsidP="007211A8">
      <w:pPr>
        <w:pStyle w:val="ListBullet"/>
        <w:numPr>
          <w:ilvl w:val="0"/>
          <w:numId w:val="0"/>
        </w:numPr>
        <w:spacing w:after="0"/>
      </w:pPr>
    </w:p>
    <w:p w14:paraId="051FDF8F" w14:textId="77777777" w:rsidR="00D03B4F" w:rsidRDefault="00D03B4F" w:rsidP="007211A8">
      <w:pPr>
        <w:pStyle w:val="ListBullet"/>
        <w:numPr>
          <w:ilvl w:val="0"/>
          <w:numId w:val="0"/>
        </w:numPr>
        <w:spacing w:after="0"/>
      </w:pPr>
      <w:r>
        <w:t>Where significant costs (greater than £1,000) relating to future financial years have been charged to a project, adjustments and/or corrections should be made to recognise those costs as prepayments. Areas of particular risk are:</w:t>
      </w:r>
    </w:p>
    <w:p w14:paraId="32D01298" w14:textId="77777777" w:rsidR="00AC3EF3" w:rsidRDefault="00AC3EF3" w:rsidP="007211A8">
      <w:pPr>
        <w:pStyle w:val="ListBullet"/>
        <w:numPr>
          <w:ilvl w:val="0"/>
          <w:numId w:val="0"/>
        </w:numPr>
        <w:spacing w:after="0"/>
      </w:pPr>
    </w:p>
    <w:p w14:paraId="73661A0C" w14:textId="77777777" w:rsidR="00D03B4F" w:rsidRDefault="00506C70" w:rsidP="007211A8">
      <w:pPr>
        <w:pStyle w:val="ListBullet"/>
        <w:tabs>
          <w:tab w:val="clear" w:pos="576"/>
          <w:tab w:val="num" w:pos="993"/>
        </w:tabs>
        <w:spacing w:after="0"/>
        <w:ind w:left="993" w:hanging="284"/>
      </w:pPr>
      <w:r>
        <w:t>l</w:t>
      </w:r>
      <w:r w:rsidR="00D03B4F">
        <w:t>ong-term contracts e.g. maintenance and support contracts for equipment;</w:t>
      </w:r>
    </w:p>
    <w:p w14:paraId="2F022D7B" w14:textId="77777777" w:rsidR="00D03B4F" w:rsidRDefault="00506C70" w:rsidP="007211A8">
      <w:pPr>
        <w:pStyle w:val="ListBullet"/>
        <w:tabs>
          <w:tab w:val="clear" w:pos="576"/>
          <w:tab w:val="num" w:pos="993"/>
        </w:tabs>
        <w:spacing w:after="0"/>
        <w:ind w:left="993" w:hanging="284"/>
      </w:pPr>
      <w:r>
        <w:t>r</w:t>
      </w:r>
      <w:r w:rsidR="00D03B4F">
        <w:t>echarges from external bodies e.g. NHS staff costs;</w:t>
      </w:r>
      <w:r>
        <w:t xml:space="preserve"> and </w:t>
      </w:r>
    </w:p>
    <w:p w14:paraId="0197898D" w14:textId="77777777" w:rsidR="00D03B4F" w:rsidRDefault="00506C70" w:rsidP="007211A8">
      <w:pPr>
        <w:pStyle w:val="ListBullet"/>
        <w:tabs>
          <w:tab w:val="clear" w:pos="576"/>
          <w:tab w:val="num" w:pos="993"/>
        </w:tabs>
        <w:spacing w:after="0"/>
        <w:ind w:left="993" w:hanging="284"/>
      </w:pPr>
      <w:proofErr w:type="gramStart"/>
      <w:r>
        <w:t>c</w:t>
      </w:r>
      <w:r w:rsidR="00D03B4F">
        <w:t>onferences</w:t>
      </w:r>
      <w:proofErr w:type="gramEnd"/>
      <w:r w:rsidR="00D03B4F">
        <w:t xml:space="preserve"> and travel costs.</w:t>
      </w:r>
    </w:p>
    <w:p w14:paraId="2D848CBD" w14:textId="77777777" w:rsidR="00AC3EF3" w:rsidRDefault="00AC3EF3" w:rsidP="00AC3EF3">
      <w:pPr>
        <w:pStyle w:val="ListBullet"/>
        <w:numPr>
          <w:ilvl w:val="0"/>
          <w:numId w:val="0"/>
        </w:numPr>
        <w:tabs>
          <w:tab w:val="clear" w:pos="576"/>
          <w:tab w:val="num" w:pos="993"/>
        </w:tabs>
        <w:spacing w:after="0"/>
        <w:ind w:left="993"/>
      </w:pPr>
    </w:p>
    <w:p w14:paraId="5117F013" w14:textId="77777777" w:rsidR="00D03B4F" w:rsidRDefault="00D03B4F" w:rsidP="007211A8">
      <w:pPr>
        <w:spacing w:after="0"/>
      </w:pPr>
      <w:r>
        <w:t>Auditors are likely to question some of the larger payments that have been made on projects and whether these should actually be p</w:t>
      </w:r>
      <w:r w:rsidR="00F374A8">
        <w:t>re</w:t>
      </w:r>
      <w:r>
        <w:t>paid or accrued for.</w:t>
      </w:r>
      <w:r w:rsidR="00506C70">
        <w:br/>
      </w:r>
    </w:p>
    <w:p w14:paraId="1E61DDD6" w14:textId="77777777" w:rsidR="00D03B4F" w:rsidRDefault="00D03B4F" w:rsidP="007211A8">
      <w:pPr>
        <w:spacing w:after="0"/>
      </w:pPr>
      <w:r>
        <w:t>In order to fulfil the reporting requirements, the following procedure should be adopted:</w:t>
      </w:r>
    </w:p>
    <w:p w14:paraId="2B881D21" w14:textId="77777777" w:rsidR="00506C70" w:rsidRDefault="00506C70" w:rsidP="007211A8">
      <w:pPr>
        <w:spacing w:after="0"/>
        <w:rPr>
          <w:color w:val="000000"/>
          <w:u w:val="single"/>
        </w:rPr>
      </w:pPr>
    </w:p>
    <w:p w14:paraId="1FD25248" w14:textId="77777777" w:rsidR="00D03B4F" w:rsidRPr="00506C70" w:rsidRDefault="00D03B4F" w:rsidP="007211A8">
      <w:pPr>
        <w:spacing w:after="0"/>
        <w:rPr>
          <w:b/>
          <w:color w:val="000000"/>
        </w:rPr>
      </w:pPr>
      <w:r w:rsidRPr="00506C70">
        <w:rPr>
          <w:b/>
          <w:color w:val="000000"/>
        </w:rPr>
        <w:t>Prepayments</w:t>
      </w:r>
    </w:p>
    <w:p w14:paraId="62AB5F15" w14:textId="77777777" w:rsidR="00D03B4F" w:rsidRDefault="00D03B4F" w:rsidP="007211A8">
      <w:pPr>
        <w:spacing w:after="0"/>
        <w:rPr>
          <w:color w:val="000000"/>
        </w:rPr>
      </w:pPr>
      <w:r>
        <w:rPr>
          <w:color w:val="000000"/>
        </w:rPr>
        <w:t xml:space="preserve">All Prepayments required should be entered on the appropriate </w:t>
      </w:r>
      <w:r w:rsidR="00506C70">
        <w:rPr>
          <w:color w:val="000000"/>
        </w:rPr>
        <w:t>y</w:t>
      </w:r>
      <w:r>
        <w:rPr>
          <w:color w:val="000000"/>
        </w:rPr>
        <w:t xml:space="preserve">ear </w:t>
      </w:r>
      <w:r w:rsidR="00506C70">
        <w:rPr>
          <w:color w:val="000000"/>
        </w:rPr>
        <w:t>e</w:t>
      </w:r>
      <w:r>
        <w:rPr>
          <w:color w:val="000000"/>
        </w:rPr>
        <w:t xml:space="preserve">nd form. Identify any payment made on a research grant over £100k during the last </w:t>
      </w:r>
      <w:r w:rsidR="00506C70">
        <w:rPr>
          <w:color w:val="000000"/>
        </w:rPr>
        <w:t xml:space="preserve">six </w:t>
      </w:r>
      <w:r>
        <w:rPr>
          <w:color w:val="000000"/>
        </w:rPr>
        <w:t xml:space="preserve">months of the financial year. </w:t>
      </w:r>
    </w:p>
    <w:p w14:paraId="636B9B0B" w14:textId="77777777" w:rsidR="00506C70" w:rsidRDefault="00506C70" w:rsidP="007211A8">
      <w:pPr>
        <w:spacing w:after="0"/>
        <w:rPr>
          <w:color w:val="000000"/>
        </w:rPr>
      </w:pPr>
    </w:p>
    <w:p w14:paraId="3227DCD9" w14:textId="77777777" w:rsidR="00D03B4F" w:rsidRDefault="00D03B4F" w:rsidP="00F47738">
      <w:pPr>
        <w:pStyle w:val="ListParagraph"/>
        <w:numPr>
          <w:ilvl w:val="0"/>
          <w:numId w:val="7"/>
        </w:numPr>
        <w:tabs>
          <w:tab w:val="clear" w:pos="576"/>
          <w:tab w:val="clear" w:pos="1152"/>
          <w:tab w:val="clear" w:pos="1728"/>
          <w:tab w:val="clear" w:pos="5760"/>
          <w:tab w:val="clear" w:pos="7877"/>
        </w:tabs>
        <w:spacing w:after="0"/>
        <w:ind w:left="993"/>
        <w:rPr>
          <w:color w:val="000000"/>
        </w:rPr>
      </w:pPr>
      <w:r>
        <w:rPr>
          <w:color w:val="000000"/>
        </w:rPr>
        <w:t>If the payment is for work that has already been undertaken and includes a breakdown of staff costs for the period then no prepayment is required.</w:t>
      </w:r>
    </w:p>
    <w:p w14:paraId="3E50413B" w14:textId="77777777" w:rsidR="00D03B4F" w:rsidRDefault="00D03B4F" w:rsidP="00F47738">
      <w:pPr>
        <w:pStyle w:val="ListParagraph"/>
        <w:numPr>
          <w:ilvl w:val="0"/>
          <w:numId w:val="7"/>
        </w:numPr>
        <w:tabs>
          <w:tab w:val="clear" w:pos="576"/>
          <w:tab w:val="clear" w:pos="1152"/>
          <w:tab w:val="clear" w:pos="1728"/>
          <w:tab w:val="clear" w:pos="5760"/>
          <w:tab w:val="clear" w:pos="7877"/>
        </w:tabs>
        <w:spacing w:after="0"/>
        <w:ind w:left="993"/>
        <w:rPr>
          <w:color w:val="000000"/>
        </w:rPr>
      </w:pPr>
      <w:r>
        <w:rPr>
          <w:color w:val="000000"/>
        </w:rPr>
        <w:t>If the payment is a stage payment based upon completion of an activity then no prepayment is required.</w:t>
      </w:r>
    </w:p>
    <w:p w14:paraId="27E34A74" w14:textId="77777777" w:rsidR="00D03B4F" w:rsidRDefault="00D03B4F" w:rsidP="00F47738">
      <w:pPr>
        <w:pStyle w:val="ListParagraph"/>
        <w:numPr>
          <w:ilvl w:val="0"/>
          <w:numId w:val="7"/>
        </w:numPr>
        <w:tabs>
          <w:tab w:val="clear" w:pos="576"/>
          <w:tab w:val="clear" w:pos="1152"/>
          <w:tab w:val="clear" w:pos="1728"/>
          <w:tab w:val="clear" w:pos="5760"/>
          <w:tab w:val="clear" w:pos="7877"/>
        </w:tabs>
        <w:spacing w:after="0"/>
        <w:ind w:left="993"/>
        <w:rPr>
          <w:color w:val="000000"/>
        </w:rPr>
      </w:pPr>
      <w:r>
        <w:rPr>
          <w:color w:val="000000"/>
        </w:rPr>
        <w:t>If the payment is a stage payment for work not yet undertaken or a payment in advance th</w:t>
      </w:r>
      <w:r w:rsidR="00506C70">
        <w:rPr>
          <w:color w:val="000000"/>
        </w:rPr>
        <w:t>en this will need to be prepaid:</w:t>
      </w:r>
    </w:p>
    <w:p w14:paraId="55AC0BB2" w14:textId="77777777" w:rsidR="00D03B4F" w:rsidRDefault="00506C70" w:rsidP="00F47738">
      <w:pPr>
        <w:numPr>
          <w:ilvl w:val="1"/>
          <w:numId w:val="7"/>
        </w:numPr>
        <w:tabs>
          <w:tab w:val="clear" w:pos="1728"/>
          <w:tab w:val="left" w:pos="1418"/>
        </w:tabs>
        <w:spacing w:after="0"/>
        <w:rPr>
          <w:color w:val="000000"/>
        </w:rPr>
      </w:pPr>
      <w:r>
        <w:rPr>
          <w:color w:val="000000"/>
        </w:rPr>
        <w:t>i</w:t>
      </w:r>
      <w:r w:rsidR="00D03B4F">
        <w:rPr>
          <w:color w:val="000000"/>
        </w:rPr>
        <w:t>f there is a schedule included that indicates when the funding is to be spent then the University needs to prepay only the</w:t>
      </w:r>
      <w:r>
        <w:rPr>
          <w:color w:val="000000"/>
        </w:rPr>
        <w:t xml:space="preserve"> it</w:t>
      </w:r>
      <w:r w:rsidR="004F4924">
        <w:rPr>
          <w:color w:val="000000"/>
        </w:rPr>
        <w:t>ems that fall into next year;</w:t>
      </w:r>
    </w:p>
    <w:p w14:paraId="44499769" w14:textId="77777777" w:rsidR="00D03B4F" w:rsidRDefault="00506C70" w:rsidP="00F47738">
      <w:pPr>
        <w:numPr>
          <w:ilvl w:val="1"/>
          <w:numId w:val="7"/>
        </w:numPr>
        <w:tabs>
          <w:tab w:val="clear" w:pos="1728"/>
          <w:tab w:val="left" w:pos="1418"/>
        </w:tabs>
        <w:spacing w:after="0"/>
        <w:rPr>
          <w:color w:val="000000"/>
        </w:rPr>
      </w:pPr>
      <w:proofErr w:type="gramStart"/>
      <w:r>
        <w:rPr>
          <w:color w:val="000000"/>
        </w:rPr>
        <w:t>i</w:t>
      </w:r>
      <w:r w:rsidR="00D03B4F">
        <w:rPr>
          <w:color w:val="000000"/>
        </w:rPr>
        <w:t>f</w:t>
      </w:r>
      <w:proofErr w:type="gramEnd"/>
      <w:r w:rsidR="00D03B4F">
        <w:rPr>
          <w:color w:val="000000"/>
        </w:rPr>
        <w:t xml:space="preserve"> there is no indication as to when the money will be spent then the payment should be prepaid based on the payment schedule and time apportioned.</w:t>
      </w:r>
    </w:p>
    <w:p w14:paraId="564278A0" w14:textId="77777777" w:rsidR="00D03B4F" w:rsidRDefault="00D03B4F" w:rsidP="007211A8">
      <w:pPr>
        <w:spacing w:after="0"/>
        <w:rPr>
          <w:color w:val="000000"/>
        </w:rPr>
      </w:pPr>
    </w:p>
    <w:tbl>
      <w:tblPr>
        <w:tblW w:w="0" w:type="auto"/>
        <w:shd w:val="clear" w:color="auto" w:fill="DBE5F1"/>
        <w:tblLook w:val="04A0" w:firstRow="1" w:lastRow="0" w:firstColumn="1" w:lastColumn="0" w:noHBand="0" w:noVBand="1"/>
      </w:tblPr>
      <w:tblGrid>
        <w:gridCol w:w="9630"/>
      </w:tblGrid>
      <w:tr w:rsidR="00865720" w:rsidRPr="005E5EE1" w14:paraId="3E235113" w14:textId="77777777" w:rsidTr="005E5EE1">
        <w:tc>
          <w:tcPr>
            <w:tcW w:w="9846" w:type="dxa"/>
            <w:shd w:val="clear" w:color="auto" w:fill="DBE5F1"/>
          </w:tcPr>
          <w:p w14:paraId="4F1A7807" w14:textId="77777777" w:rsidR="00E869E1" w:rsidRPr="005E5EE1" w:rsidRDefault="00E2608E" w:rsidP="005E5EE1">
            <w:pPr>
              <w:spacing w:after="0"/>
              <w:rPr>
                <w:b/>
                <w:color w:val="000000"/>
              </w:rPr>
            </w:pPr>
            <w:r w:rsidRPr="005E5EE1">
              <w:rPr>
                <w:b/>
                <w:color w:val="000000"/>
              </w:rPr>
              <w:br/>
            </w:r>
            <w:r w:rsidR="00E869E1" w:rsidRPr="005E5EE1">
              <w:rPr>
                <w:b/>
                <w:color w:val="000000"/>
              </w:rPr>
              <w:t xml:space="preserve">Example of 3a </w:t>
            </w:r>
          </w:p>
          <w:p w14:paraId="457B7F95" w14:textId="45704B30" w:rsidR="00E869E1" w:rsidRPr="005E5EE1" w:rsidRDefault="00F266D6" w:rsidP="005E5EE1">
            <w:pPr>
              <w:spacing w:after="0"/>
              <w:rPr>
                <w:color w:val="000000"/>
              </w:rPr>
            </w:pPr>
            <w:r>
              <w:rPr>
                <w:color w:val="000000"/>
              </w:rPr>
              <w:t xml:space="preserve">Invoice date: 15 </w:t>
            </w:r>
            <w:r w:rsidR="00F374A8">
              <w:rPr>
                <w:color w:val="000000"/>
              </w:rPr>
              <w:t>June 20</w:t>
            </w:r>
            <w:r w:rsidR="00FA40D2">
              <w:rPr>
                <w:color w:val="000000"/>
              </w:rPr>
              <w:t>2</w:t>
            </w:r>
            <w:r w:rsidR="00E476A0">
              <w:rPr>
                <w:color w:val="000000"/>
              </w:rPr>
              <w:t>2</w:t>
            </w:r>
          </w:p>
          <w:p w14:paraId="2DDA4535" w14:textId="77777777" w:rsidR="00E869E1" w:rsidRPr="005E5EE1" w:rsidRDefault="00E869E1" w:rsidP="005E5EE1">
            <w:pPr>
              <w:spacing w:after="0"/>
              <w:rPr>
                <w:color w:val="000000"/>
              </w:rPr>
            </w:pPr>
            <w:r w:rsidRPr="005E5EE1">
              <w:rPr>
                <w:color w:val="000000"/>
              </w:rPr>
              <w:t>Total payment: £500,000</w:t>
            </w:r>
          </w:p>
          <w:p w14:paraId="299DC012" w14:textId="77777777" w:rsidR="00E869E1" w:rsidRPr="005E5EE1" w:rsidRDefault="00E869E1" w:rsidP="005E5EE1">
            <w:pPr>
              <w:spacing w:after="0"/>
              <w:rPr>
                <w:color w:val="000000"/>
              </w:rPr>
            </w:pPr>
            <w:r w:rsidRPr="005E5EE1">
              <w:rPr>
                <w:color w:val="000000"/>
              </w:rPr>
              <w:t>Schedule:</w:t>
            </w:r>
          </w:p>
          <w:p w14:paraId="23DE46C3" w14:textId="77777777" w:rsidR="00E869E1" w:rsidRPr="005E5EE1" w:rsidRDefault="009B1189"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Pr>
                <w:color w:val="000000"/>
              </w:rPr>
              <w:t>£50,000 to be spent in June</w:t>
            </w:r>
          </w:p>
          <w:p w14:paraId="214D609D" w14:textId="77777777" w:rsidR="00E869E1" w:rsidRPr="005E5EE1" w:rsidRDefault="009B1189"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Pr>
                <w:color w:val="000000"/>
              </w:rPr>
              <w:t>£100,000 to be spent in July</w:t>
            </w:r>
          </w:p>
          <w:p w14:paraId="30801C3C" w14:textId="77777777" w:rsidR="00E869E1" w:rsidRPr="005E5EE1" w:rsidRDefault="00E869E1"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sidRPr="005E5EE1">
              <w:rPr>
                <w:color w:val="000000"/>
              </w:rPr>
              <w:t>£100,000 to be spent in August</w:t>
            </w:r>
          </w:p>
          <w:p w14:paraId="3DC8024A" w14:textId="77777777" w:rsidR="00E869E1" w:rsidRPr="005E5EE1" w:rsidRDefault="00E869E1"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sidRPr="005E5EE1">
              <w:rPr>
                <w:color w:val="000000"/>
              </w:rPr>
              <w:t>£</w:t>
            </w:r>
            <w:r w:rsidR="009B1189">
              <w:rPr>
                <w:color w:val="000000"/>
              </w:rPr>
              <w:t>75,000 to be spent in September</w:t>
            </w:r>
          </w:p>
          <w:p w14:paraId="3D0C9837" w14:textId="77777777" w:rsidR="00E869E1" w:rsidRPr="005E5EE1" w:rsidRDefault="009B1189"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Pr>
                <w:color w:val="000000"/>
              </w:rPr>
              <w:t>£75,000 to be spent in October</w:t>
            </w:r>
          </w:p>
          <w:p w14:paraId="27384CD3" w14:textId="77777777" w:rsidR="00E869E1" w:rsidRPr="005E5EE1" w:rsidRDefault="00E869E1" w:rsidP="00F47738">
            <w:pPr>
              <w:pStyle w:val="ListParagraph"/>
              <w:numPr>
                <w:ilvl w:val="0"/>
                <w:numId w:val="8"/>
              </w:numPr>
              <w:tabs>
                <w:tab w:val="clear" w:pos="576"/>
                <w:tab w:val="clear" w:pos="1152"/>
                <w:tab w:val="clear" w:pos="1728"/>
                <w:tab w:val="clear" w:pos="5760"/>
                <w:tab w:val="clear" w:pos="7877"/>
              </w:tabs>
              <w:spacing w:after="0"/>
              <w:ind w:left="993" w:hanging="284"/>
              <w:rPr>
                <w:color w:val="000000"/>
              </w:rPr>
            </w:pPr>
            <w:r w:rsidRPr="005E5EE1">
              <w:rPr>
                <w:color w:val="000000"/>
              </w:rPr>
              <w:t>£</w:t>
            </w:r>
            <w:r w:rsidR="009B1189">
              <w:rPr>
                <w:color w:val="000000"/>
              </w:rPr>
              <w:t>100,000 to be spent in November</w:t>
            </w:r>
          </w:p>
          <w:p w14:paraId="35E80223" w14:textId="77777777" w:rsidR="00E869E1" w:rsidRPr="005E5EE1" w:rsidRDefault="00E869E1" w:rsidP="005E5EE1">
            <w:pPr>
              <w:spacing w:after="0"/>
              <w:rPr>
                <w:color w:val="000000"/>
              </w:rPr>
            </w:pPr>
          </w:p>
          <w:p w14:paraId="20A6B722" w14:textId="77777777" w:rsidR="00E869E1" w:rsidRPr="005E5EE1" w:rsidRDefault="00E869E1" w:rsidP="005E5EE1">
            <w:pPr>
              <w:spacing w:after="0"/>
              <w:rPr>
                <w:color w:val="000000"/>
              </w:rPr>
            </w:pPr>
            <w:r w:rsidRPr="005E5EE1">
              <w:rPr>
                <w:color w:val="000000"/>
              </w:rPr>
              <w:t>Prepayment required:</w:t>
            </w:r>
          </w:p>
          <w:p w14:paraId="36CC5298" w14:textId="77777777" w:rsidR="00E869E1" w:rsidRPr="005E5EE1" w:rsidRDefault="00E869E1" w:rsidP="00F47738">
            <w:pPr>
              <w:numPr>
                <w:ilvl w:val="0"/>
                <w:numId w:val="9"/>
              </w:numPr>
              <w:spacing w:after="0"/>
              <w:rPr>
                <w:color w:val="000000"/>
              </w:rPr>
            </w:pPr>
            <w:r w:rsidRPr="005E5EE1">
              <w:rPr>
                <w:color w:val="000000"/>
              </w:rPr>
              <w:t xml:space="preserve">Only items iii to </w:t>
            </w:r>
            <w:proofErr w:type="gramStart"/>
            <w:r w:rsidRPr="005E5EE1">
              <w:rPr>
                <w:color w:val="000000"/>
              </w:rPr>
              <w:t>vi</w:t>
            </w:r>
            <w:proofErr w:type="gramEnd"/>
            <w:r w:rsidRPr="005E5EE1">
              <w:rPr>
                <w:color w:val="000000"/>
              </w:rPr>
              <w:t xml:space="preserve"> need to be prepaid as they fall into the next financial year. </w:t>
            </w:r>
          </w:p>
          <w:p w14:paraId="57895062" w14:textId="77777777" w:rsidR="00E869E1" w:rsidRPr="005E5EE1" w:rsidRDefault="00E869E1" w:rsidP="00F47738">
            <w:pPr>
              <w:numPr>
                <w:ilvl w:val="0"/>
                <w:numId w:val="9"/>
              </w:numPr>
              <w:spacing w:after="0"/>
              <w:rPr>
                <w:color w:val="000000"/>
              </w:rPr>
            </w:pPr>
            <w:r w:rsidRPr="005E5EE1">
              <w:rPr>
                <w:color w:val="000000"/>
              </w:rPr>
              <w:t xml:space="preserve">Total prepayment = £100,000 + £75,000 </w:t>
            </w:r>
            <w:r w:rsidR="000E30D3" w:rsidRPr="005E5EE1">
              <w:rPr>
                <w:color w:val="000000"/>
              </w:rPr>
              <w:t>+ £75,000 + £100,000 = £350,000.</w:t>
            </w:r>
          </w:p>
          <w:p w14:paraId="49DD9E29" w14:textId="77777777" w:rsidR="00E869E1" w:rsidRPr="005E5EE1" w:rsidRDefault="00E869E1" w:rsidP="005E5EE1">
            <w:pPr>
              <w:spacing w:after="0"/>
              <w:rPr>
                <w:color w:val="000000"/>
              </w:rPr>
            </w:pPr>
          </w:p>
          <w:p w14:paraId="56096D93" w14:textId="77777777" w:rsidR="00E2608E" w:rsidRPr="005E5EE1" w:rsidRDefault="000E30D3" w:rsidP="005E5EE1">
            <w:pPr>
              <w:spacing w:after="0"/>
              <w:rPr>
                <w:b/>
                <w:color w:val="000000"/>
              </w:rPr>
            </w:pPr>
            <w:r w:rsidRPr="005E5EE1">
              <w:rPr>
                <w:b/>
                <w:color w:val="000000"/>
              </w:rPr>
              <w:t xml:space="preserve">Example of </w:t>
            </w:r>
            <w:r w:rsidR="00E869E1" w:rsidRPr="005E5EE1">
              <w:rPr>
                <w:b/>
                <w:color w:val="000000"/>
              </w:rPr>
              <w:t>3b</w:t>
            </w:r>
          </w:p>
          <w:p w14:paraId="42BD82B5" w14:textId="4D183121" w:rsidR="00E869E1" w:rsidRPr="005E5EE1" w:rsidRDefault="00E869E1" w:rsidP="005E5EE1">
            <w:pPr>
              <w:spacing w:after="0"/>
              <w:rPr>
                <w:b/>
                <w:color w:val="000000"/>
              </w:rPr>
            </w:pPr>
            <w:r w:rsidRPr="005E5EE1">
              <w:rPr>
                <w:color w:val="000000"/>
              </w:rPr>
              <w:t>Invoice date: 11 May 20</w:t>
            </w:r>
            <w:r w:rsidR="00FA40D2">
              <w:rPr>
                <w:color w:val="000000"/>
              </w:rPr>
              <w:t>2</w:t>
            </w:r>
            <w:r w:rsidR="00E476A0">
              <w:rPr>
                <w:color w:val="000000"/>
              </w:rPr>
              <w:t>2</w:t>
            </w:r>
          </w:p>
          <w:p w14:paraId="7B4C3F94" w14:textId="77777777" w:rsidR="00E869E1" w:rsidRPr="005E5EE1" w:rsidRDefault="00E869E1" w:rsidP="005E5EE1">
            <w:pPr>
              <w:spacing w:after="0"/>
              <w:rPr>
                <w:color w:val="000000"/>
              </w:rPr>
            </w:pPr>
            <w:r w:rsidRPr="005E5EE1">
              <w:rPr>
                <w:color w:val="000000"/>
              </w:rPr>
              <w:t>Total payment: £1,000,000</w:t>
            </w:r>
          </w:p>
          <w:p w14:paraId="37300B33" w14:textId="065B8ECA" w:rsidR="00E869E1" w:rsidRPr="005E5EE1" w:rsidRDefault="00E869E1" w:rsidP="005E5EE1">
            <w:pPr>
              <w:spacing w:after="0"/>
              <w:rPr>
                <w:color w:val="000000"/>
              </w:rPr>
            </w:pPr>
            <w:r w:rsidRPr="005E5EE1">
              <w:rPr>
                <w:color w:val="000000"/>
              </w:rPr>
              <w:t>Payment schedule</w:t>
            </w:r>
            <w:r w:rsidR="000E30D3" w:rsidRPr="005E5EE1">
              <w:rPr>
                <w:color w:val="000000"/>
              </w:rPr>
              <w:t xml:space="preserve"> indicates next payment due 11</w:t>
            </w:r>
            <w:r w:rsidR="00F374A8">
              <w:rPr>
                <w:color w:val="000000"/>
              </w:rPr>
              <w:t xml:space="preserve"> June 20</w:t>
            </w:r>
            <w:r w:rsidR="00FA40D2">
              <w:rPr>
                <w:color w:val="000000"/>
              </w:rPr>
              <w:t>2</w:t>
            </w:r>
            <w:r w:rsidR="00E476A0">
              <w:rPr>
                <w:color w:val="000000"/>
              </w:rPr>
              <w:t>3</w:t>
            </w:r>
            <w:r w:rsidR="000E30D3" w:rsidRPr="005E5EE1">
              <w:rPr>
                <w:color w:val="000000"/>
              </w:rPr>
              <w:t>.</w:t>
            </w:r>
          </w:p>
          <w:p w14:paraId="492A75E0" w14:textId="77777777" w:rsidR="000E30D3" w:rsidRPr="005E5EE1" w:rsidRDefault="000E30D3" w:rsidP="005E5EE1">
            <w:pPr>
              <w:spacing w:after="0"/>
              <w:rPr>
                <w:color w:val="000000"/>
              </w:rPr>
            </w:pPr>
          </w:p>
          <w:p w14:paraId="7CF8DDC0" w14:textId="77777777" w:rsidR="00E869E1" w:rsidRPr="005E5EE1" w:rsidRDefault="00E869E1" w:rsidP="005E5EE1">
            <w:pPr>
              <w:spacing w:after="0"/>
              <w:rPr>
                <w:color w:val="000000"/>
              </w:rPr>
            </w:pPr>
            <w:r w:rsidRPr="005E5EE1">
              <w:rPr>
                <w:color w:val="000000"/>
              </w:rPr>
              <w:t>Prepayment required:</w:t>
            </w:r>
          </w:p>
          <w:p w14:paraId="7260049C" w14:textId="6AB2F630" w:rsidR="000E30D3" w:rsidRPr="005E5EE1" w:rsidRDefault="00E869E1" w:rsidP="00F47738">
            <w:pPr>
              <w:numPr>
                <w:ilvl w:val="0"/>
                <w:numId w:val="10"/>
              </w:numPr>
              <w:spacing w:after="0"/>
              <w:rPr>
                <w:color w:val="000000"/>
              </w:rPr>
            </w:pPr>
            <w:r w:rsidRPr="005E5EE1">
              <w:rPr>
                <w:color w:val="000000"/>
              </w:rPr>
              <w:t xml:space="preserve">Total period = May </w:t>
            </w:r>
            <w:r w:rsidR="008C5460">
              <w:rPr>
                <w:color w:val="000000"/>
              </w:rPr>
              <w:t>2</w:t>
            </w:r>
            <w:r w:rsidR="00E476A0">
              <w:rPr>
                <w:color w:val="000000"/>
              </w:rPr>
              <w:t>2</w:t>
            </w:r>
            <w:r w:rsidR="00F374A8">
              <w:rPr>
                <w:color w:val="000000"/>
              </w:rPr>
              <w:t xml:space="preserve"> </w:t>
            </w:r>
            <w:r w:rsidRPr="005E5EE1">
              <w:rPr>
                <w:color w:val="000000"/>
              </w:rPr>
              <w:t xml:space="preserve">to June </w:t>
            </w:r>
            <w:r w:rsidR="00FA40D2">
              <w:rPr>
                <w:color w:val="000000"/>
              </w:rPr>
              <w:t>2</w:t>
            </w:r>
            <w:r w:rsidR="00E476A0">
              <w:rPr>
                <w:color w:val="000000"/>
              </w:rPr>
              <w:t>3</w:t>
            </w:r>
            <w:r w:rsidRPr="005E5EE1">
              <w:rPr>
                <w:color w:val="000000"/>
              </w:rPr>
              <w:t xml:space="preserve"> = 14 months. </w:t>
            </w:r>
          </w:p>
          <w:p w14:paraId="689DCA3B" w14:textId="77777777" w:rsidR="000E30D3" w:rsidRPr="005E5EE1" w:rsidRDefault="00E869E1" w:rsidP="00F47738">
            <w:pPr>
              <w:numPr>
                <w:ilvl w:val="0"/>
                <w:numId w:val="10"/>
              </w:numPr>
              <w:spacing w:after="0"/>
              <w:rPr>
                <w:color w:val="000000"/>
              </w:rPr>
            </w:pPr>
            <w:r w:rsidRPr="005E5EE1">
              <w:rPr>
                <w:color w:val="000000"/>
              </w:rPr>
              <w:t xml:space="preserve">Total months to end of financial year = May to July = 3 months. </w:t>
            </w:r>
          </w:p>
          <w:p w14:paraId="0864397D" w14:textId="77777777" w:rsidR="00E869E1" w:rsidRPr="005E5EE1" w:rsidRDefault="00E869E1" w:rsidP="00F47738">
            <w:pPr>
              <w:numPr>
                <w:ilvl w:val="0"/>
                <w:numId w:val="10"/>
              </w:numPr>
              <w:spacing w:after="0"/>
              <w:rPr>
                <w:color w:val="000000"/>
              </w:rPr>
            </w:pPr>
            <w:r w:rsidRPr="005E5EE1">
              <w:rPr>
                <w:color w:val="000000"/>
              </w:rPr>
              <w:t>Prepayment required = £1,000,000 * (14 – 3) / 14 = £785,714</w:t>
            </w:r>
            <w:r w:rsidR="000E30D3" w:rsidRPr="005E5EE1">
              <w:rPr>
                <w:color w:val="000000"/>
              </w:rPr>
              <w:t>.</w:t>
            </w:r>
            <w:r w:rsidR="00E2608E" w:rsidRPr="005E5EE1">
              <w:rPr>
                <w:color w:val="000000"/>
              </w:rPr>
              <w:br/>
            </w:r>
          </w:p>
          <w:p w14:paraId="07FE3426" w14:textId="77777777" w:rsidR="00E869E1" w:rsidRPr="005E5EE1" w:rsidRDefault="00E869E1" w:rsidP="005E5EE1">
            <w:pPr>
              <w:spacing w:after="0"/>
              <w:rPr>
                <w:color w:val="000000"/>
              </w:rPr>
            </w:pPr>
          </w:p>
        </w:tc>
      </w:tr>
    </w:tbl>
    <w:p w14:paraId="6BEA1360" w14:textId="77777777" w:rsidR="00E869E1" w:rsidRDefault="00E869E1" w:rsidP="007211A8">
      <w:pPr>
        <w:spacing w:after="0"/>
        <w:rPr>
          <w:color w:val="000000"/>
        </w:rPr>
      </w:pPr>
    </w:p>
    <w:p w14:paraId="0DF6430A" w14:textId="77777777" w:rsidR="000E30D3" w:rsidRPr="000E30D3" w:rsidRDefault="000E30D3" w:rsidP="000E30D3">
      <w:pPr>
        <w:spacing w:after="0"/>
        <w:rPr>
          <w:b/>
          <w:color w:val="000000"/>
        </w:rPr>
      </w:pPr>
      <w:r w:rsidRPr="000E30D3">
        <w:rPr>
          <w:b/>
          <w:color w:val="000000"/>
        </w:rPr>
        <w:t>Accruals</w:t>
      </w:r>
    </w:p>
    <w:p w14:paraId="3B767F2B" w14:textId="77777777" w:rsidR="000E30D3" w:rsidRDefault="000E30D3" w:rsidP="000E30D3">
      <w:pPr>
        <w:spacing w:after="0"/>
        <w:rPr>
          <w:color w:val="000000"/>
        </w:rPr>
      </w:pPr>
      <w:r>
        <w:rPr>
          <w:color w:val="000000"/>
        </w:rPr>
        <w:t xml:space="preserve">Full accrual for any costs incurred before year end and which have not yet been invoiced should be made in line with the </w:t>
      </w:r>
      <w:hyperlink r:id="rId10" w:history="1">
        <w:proofErr w:type="spellStart"/>
        <w:r w:rsidR="00D83E28" w:rsidRPr="00D83E28">
          <w:rPr>
            <w:rStyle w:val="Hyperlink"/>
          </w:rPr>
          <w:t>year end</w:t>
        </w:r>
        <w:proofErr w:type="spellEnd"/>
        <w:r w:rsidR="00D83E28" w:rsidRPr="00D83E28">
          <w:rPr>
            <w:rStyle w:val="Hyperlink"/>
          </w:rPr>
          <w:t xml:space="preserve"> guidance</w:t>
        </w:r>
      </w:hyperlink>
      <w:r>
        <w:rPr>
          <w:color w:val="000000"/>
        </w:rPr>
        <w:t xml:space="preserve"> and on the appropriate year end form.</w:t>
      </w:r>
    </w:p>
    <w:p w14:paraId="4BF978BA" w14:textId="77777777" w:rsidR="000E30D3" w:rsidRDefault="000E30D3" w:rsidP="000E30D3">
      <w:pPr>
        <w:spacing w:after="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rsidRPr="005E5EE1" w14:paraId="6B71F105" w14:textId="77777777" w:rsidTr="005E5EE1">
        <w:tc>
          <w:tcPr>
            <w:tcW w:w="9846" w:type="dxa"/>
            <w:tcBorders>
              <w:top w:val="nil"/>
              <w:left w:val="nil"/>
              <w:bottom w:val="nil"/>
              <w:right w:val="nil"/>
            </w:tcBorders>
            <w:shd w:val="clear" w:color="auto" w:fill="DBE5F1"/>
          </w:tcPr>
          <w:p w14:paraId="3C9944D2" w14:textId="77777777" w:rsidR="00E2608E" w:rsidRPr="005E5EE1" w:rsidRDefault="00E2608E" w:rsidP="005E5EE1">
            <w:pPr>
              <w:spacing w:after="0"/>
              <w:rPr>
                <w:b/>
                <w:color w:val="000000"/>
              </w:rPr>
            </w:pPr>
            <w:r w:rsidRPr="005E5EE1">
              <w:rPr>
                <w:b/>
                <w:color w:val="000000"/>
              </w:rPr>
              <w:br/>
              <w:t>Accruals example, assuming equal costs each month</w:t>
            </w:r>
          </w:p>
          <w:p w14:paraId="5EF2108B" w14:textId="4A95DD15" w:rsidR="005A172C" w:rsidRPr="005E5EE1" w:rsidRDefault="00E2608E" w:rsidP="005E5EE1">
            <w:pPr>
              <w:spacing w:after="0"/>
              <w:rPr>
                <w:color w:val="000000"/>
              </w:rPr>
            </w:pPr>
            <w:r w:rsidRPr="005E5EE1">
              <w:rPr>
                <w:color w:val="000000"/>
              </w:rPr>
              <w:t>Supply of services by an organisation. Organisation scheduled to invoice Oxford in January 20</w:t>
            </w:r>
            <w:r w:rsidR="00FA40D2">
              <w:rPr>
                <w:color w:val="000000"/>
              </w:rPr>
              <w:t>2</w:t>
            </w:r>
            <w:r w:rsidR="00E476A0">
              <w:rPr>
                <w:color w:val="000000"/>
              </w:rPr>
              <w:t>3</w:t>
            </w:r>
            <w:r w:rsidRPr="005E5EE1">
              <w:rPr>
                <w:color w:val="000000"/>
              </w:rPr>
              <w:t xml:space="preserve"> for actual costs incurred.</w:t>
            </w:r>
            <w:r w:rsidR="005A172C" w:rsidRPr="005E5EE1">
              <w:rPr>
                <w:color w:val="000000"/>
              </w:rPr>
              <w:t xml:space="preserve"> Organisat</w:t>
            </w:r>
            <w:r w:rsidR="008532DC">
              <w:rPr>
                <w:color w:val="000000"/>
              </w:rPr>
              <w:t>ion commenced work in April 20</w:t>
            </w:r>
            <w:r w:rsidR="005710E2">
              <w:rPr>
                <w:color w:val="000000"/>
              </w:rPr>
              <w:t>2</w:t>
            </w:r>
            <w:r w:rsidR="00E476A0">
              <w:rPr>
                <w:color w:val="000000"/>
              </w:rPr>
              <w:t>2</w:t>
            </w:r>
            <w:r w:rsidR="005A172C" w:rsidRPr="005E5EE1">
              <w:rPr>
                <w:color w:val="000000"/>
              </w:rPr>
              <w:t xml:space="preserve">.      </w:t>
            </w:r>
          </w:p>
          <w:p w14:paraId="07717FB0" w14:textId="77777777" w:rsidR="00E2608E" w:rsidRPr="005E5EE1" w:rsidRDefault="00E2608E" w:rsidP="005E5EE1">
            <w:pPr>
              <w:spacing w:after="0"/>
              <w:rPr>
                <w:color w:val="000000"/>
              </w:rPr>
            </w:pPr>
          </w:p>
          <w:p w14:paraId="283C3897" w14:textId="77777777" w:rsidR="00E2608E" w:rsidRPr="005E5EE1" w:rsidRDefault="00E2608E" w:rsidP="005E5EE1">
            <w:pPr>
              <w:spacing w:after="0"/>
              <w:rPr>
                <w:color w:val="000000"/>
              </w:rPr>
            </w:pPr>
            <w:r w:rsidRPr="005E5EE1">
              <w:rPr>
                <w:color w:val="000000"/>
              </w:rPr>
              <w:t>Budget awarded to organisation or estimated cost for this period = £1,200,000</w:t>
            </w:r>
            <w:r w:rsidR="005A172C" w:rsidRPr="005E5EE1">
              <w:rPr>
                <w:color w:val="000000"/>
              </w:rPr>
              <w:t>.</w:t>
            </w:r>
          </w:p>
          <w:p w14:paraId="2953AE6E" w14:textId="77777777" w:rsidR="005A172C" w:rsidRPr="005E5EE1" w:rsidRDefault="005A172C" w:rsidP="005E5EE1">
            <w:pPr>
              <w:spacing w:after="0"/>
              <w:rPr>
                <w:color w:val="000000"/>
              </w:rPr>
            </w:pPr>
          </w:p>
          <w:p w14:paraId="0A5786EF" w14:textId="77777777" w:rsidR="00E2608E" w:rsidRPr="005E5EE1" w:rsidRDefault="00E2608E" w:rsidP="00F47738">
            <w:pPr>
              <w:numPr>
                <w:ilvl w:val="0"/>
                <w:numId w:val="11"/>
              </w:numPr>
              <w:spacing w:after="0"/>
              <w:rPr>
                <w:color w:val="000000"/>
              </w:rPr>
            </w:pPr>
            <w:r w:rsidRPr="005E5EE1">
              <w:rPr>
                <w:color w:val="000000"/>
              </w:rPr>
              <w:t>Total period = April to January = 10 months</w:t>
            </w:r>
          </w:p>
          <w:p w14:paraId="5AE0318D" w14:textId="77777777" w:rsidR="00E2608E" w:rsidRPr="005E5EE1" w:rsidRDefault="00E2608E" w:rsidP="00F47738">
            <w:pPr>
              <w:numPr>
                <w:ilvl w:val="0"/>
                <w:numId w:val="11"/>
              </w:numPr>
              <w:spacing w:after="0"/>
              <w:rPr>
                <w:color w:val="000000"/>
              </w:rPr>
            </w:pPr>
            <w:r w:rsidRPr="005E5EE1">
              <w:rPr>
                <w:color w:val="000000"/>
              </w:rPr>
              <w:t>Months falling within current financial year = April to July = 4 months</w:t>
            </w:r>
          </w:p>
          <w:p w14:paraId="65D9C6F0" w14:textId="77777777" w:rsidR="00E2608E" w:rsidRPr="005E5EE1" w:rsidRDefault="00E2608E" w:rsidP="00F47738">
            <w:pPr>
              <w:numPr>
                <w:ilvl w:val="0"/>
                <w:numId w:val="11"/>
              </w:numPr>
              <w:spacing w:after="0"/>
              <w:rPr>
                <w:color w:val="000000"/>
              </w:rPr>
            </w:pPr>
            <w:r w:rsidRPr="005E5EE1">
              <w:rPr>
                <w:color w:val="000000"/>
              </w:rPr>
              <w:t>Accrual required = £1,200,000 * 4/10 = £480,000</w:t>
            </w:r>
          </w:p>
          <w:p w14:paraId="6EB1C16C" w14:textId="77777777" w:rsidR="00E2608E" w:rsidRPr="005E5EE1" w:rsidRDefault="00E2608E" w:rsidP="005E5EE1">
            <w:pPr>
              <w:spacing w:after="0"/>
              <w:rPr>
                <w:b/>
                <w:color w:val="000000"/>
              </w:rPr>
            </w:pPr>
          </w:p>
          <w:p w14:paraId="34563D14" w14:textId="77777777" w:rsidR="00E2608E" w:rsidRPr="005E5EE1" w:rsidRDefault="00E2608E" w:rsidP="005E5EE1">
            <w:pPr>
              <w:spacing w:after="0"/>
              <w:rPr>
                <w:color w:val="000000"/>
              </w:rPr>
            </w:pPr>
          </w:p>
        </w:tc>
      </w:tr>
    </w:tbl>
    <w:p w14:paraId="0D3834F8" w14:textId="77777777" w:rsidR="00E2608E" w:rsidRDefault="00E2608E" w:rsidP="000E30D3">
      <w:pPr>
        <w:spacing w:after="0"/>
        <w:rPr>
          <w:color w:val="000000"/>
        </w:rPr>
      </w:pPr>
    </w:p>
    <w:p w14:paraId="4054D427" w14:textId="77777777" w:rsidR="00E2608E" w:rsidRDefault="00E2608E" w:rsidP="000E30D3">
      <w:pPr>
        <w:spacing w:after="0"/>
        <w:rPr>
          <w:color w:val="000000"/>
        </w:rPr>
      </w:pPr>
    </w:p>
    <w:p w14:paraId="115BAFA4" w14:textId="77777777" w:rsidR="00D03B4F" w:rsidRPr="009960FF" w:rsidRDefault="00D03B4F" w:rsidP="00AC3EF3">
      <w:pPr>
        <w:pStyle w:val="Heading3"/>
        <w:numPr>
          <w:ilvl w:val="0"/>
          <w:numId w:val="0"/>
        </w:numPr>
        <w:spacing w:before="0" w:after="0"/>
        <w:rPr>
          <w:sz w:val="36"/>
          <w:szCs w:val="36"/>
        </w:rPr>
      </w:pPr>
      <w:r w:rsidRPr="009960FF">
        <w:rPr>
          <w:sz w:val="36"/>
          <w:szCs w:val="36"/>
        </w:rPr>
        <w:t>Suspense (NZ) Projects</w:t>
      </w:r>
    </w:p>
    <w:p w14:paraId="056DE765" w14:textId="77777777" w:rsidR="009960FF" w:rsidRDefault="009960FF" w:rsidP="007211A8">
      <w:pPr>
        <w:pStyle w:val="Heading4"/>
        <w:numPr>
          <w:ilvl w:val="0"/>
          <w:numId w:val="0"/>
        </w:num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14:paraId="704731F7" w14:textId="77777777" w:rsidTr="005E5EE1">
        <w:tc>
          <w:tcPr>
            <w:tcW w:w="9846" w:type="dxa"/>
            <w:tcBorders>
              <w:top w:val="nil"/>
              <w:left w:val="nil"/>
              <w:bottom w:val="nil"/>
              <w:right w:val="nil"/>
            </w:tcBorders>
            <w:shd w:val="clear" w:color="auto" w:fill="D9D9D9"/>
          </w:tcPr>
          <w:p w14:paraId="6452C5BC" w14:textId="77777777" w:rsidR="009960FF" w:rsidRDefault="009960FF" w:rsidP="005E5EE1">
            <w:pPr>
              <w:pStyle w:val="Heading3"/>
              <w:numPr>
                <w:ilvl w:val="0"/>
                <w:numId w:val="0"/>
              </w:numPr>
              <w:spacing w:before="0" w:after="0"/>
            </w:pPr>
          </w:p>
          <w:p w14:paraId="5678B867" w14:textId="77777777" w:rsidR="009960FF" w:rsidRPr="00AC3EF3" w:rsidRDefault="009960FF" w:rsidP="005E5EE1">
            <w:pPr>
              <w:pStyle w:val="Heading3"/>
              <w:numPr>
                <w:ilvl w:val="0"/>
                <w:numId w:val="0"/>
              </w:numPr>
              <w:spacing w:before="0" w:after="0"/>
            </w:pPr>
            <w:r w:rsidRPr="005E5EE1">
              <w:rPr>
                <w:szCs w:val="22"/>
              </w:rPr>
              <w:t>University Policy</w:t>
            </w:r>
            <w:r w:rsidRPr="005E5EE1">
              <w:rPr>
                <w:sz w:val="28"/>
                <w:szCs w:val="28"/>
              </w:rPr>
              <w:br/>
            </w:r>
            <w:r w:rsidRPr="005E5EE1">
              <w:rPr>
                <w:b w:val="0"/>
              </w:rPr>
              <w:t>Project suspense accounts should be reviewed and cleared on a monthly basis.</w:t>
            </w:r>
            <w:r w:rsidRPr="005E5EE1">
              <w:rPr>
                <w:b w:val="0"/>
              </w:rPr>
              <w:br/>
            </w:r>
          </w:p>
        </w:tc>
      </w:tr>
    </w:tbl>
    <w:p w14:paraId="7654B5CE" w14:textId="77777777" w:rsidR="009960FF" w:rsidRDefault="009960FF" w:rsidP="009960FF">
      <w:pPr>
        <w:pStyle w:val="Heading4"/>
        <w:numPr>
          <w:ilvl w:val="0"/>
          <w:numId w:val="0"/>
        </w:numPr>
        <w:spacing w:before="0" w:after="0"/>
        <w:ind w:left="864" w:hanging="864"/>
        <w:rPr>
          <w:b/>
          <w:bCs w:val="0"/>
          <w:i w:val="0"/>
          <w:color w:val="000000"/>
          <w:szCs w:val="24"/>
        </w:rPr>
      </w:pPr>
    </w:p>
    <w:p w14:paraId="2ACFA163" w14:textId="77777777" w:rsidR="00D03B4F" w:rsidRDefault="00D03B4F" w:rsidP="007211A8">
      <w:pPr>
        <w:spacing w:after="0"/>
      </w:pPr>
      <w:r>
        <w:t xml:space="preserve">The Suspense Project is used as a holding pot for items that fail funds checking or have been charged to a project after its end date. The main sources of suspense account postings are payroll entries or </w:t>
      </w:r>
      <w:r w:rsidR="00177D3C">
        <w:t>Projects</w:t>
      </w:r>
      <w:r w:rsidRPr="00177D3C">
        <w:t xml:space="preserve"> journals</w:t>
      </w:r>
      <w:r>
        <w:t xml:space="preserve">. Departments are notified by Research Accounts of transactions transferred to their suspense project on the day </w:t>
      </w:r>
      <w:r w:rsidR="000338BC">
        <w:t xml:space="preserve">after </w:t>
      </w:r>
      <w:r>
        <w:t xml:space="preserve">the transfer occurs. Departments should check and clear their Suspense Projects </w:t>
      </w:r>
      <w:r>
        <w:rPr>
          <w:b/>
          <w:bCs/>
        </w:rPr>
        <w:t>at least</w:t>
      </w:r>
      <w:r>
        <w:t xml:space="preserve"> monthly.</w:t>
      </w:r>
    </w:p>
    <w:p w14:paraId="7A6F2F0C" w14:textId="77777777" w:rsidR="00D03B4F" w:rsidRDefault="00D03B4F" w:rsidP="007211A8">
      <w:pPr>
        <w:spacing w:after="0"/>
      </w:pPr>
    </w:p>
    <w:p w14:paraId="166CE8A2" w14:textId="77777777" w:rsidR="00D03B4F" w:rsidRDefault="00D03B4F" w:rsidP="007211A8">
      <w:pPr>
        <w:spacing w:after="0"/>
      </w:pPr>
      <w:r>
        <w:t xml:space="preserve">We do not recognise balances on Suspense Projects as research activity in the </w:t>
      </w:r>
      <w:r w:rsidR="004A59E5">
        <w:t>University’s F</w:t>
      </w:r>
      <w:r>
        <w:t xml:space="preserve">inancial </w:t>
      </w:r>
      <w:r w:rsidR="004A59E5">
        <w:t>S</w:t>
      </w:r>
      <w:r>
        <w:t>tatements, nor do we recognise revenue on those balances. The following table sets out the most likely reasons for items in the suspense account and solutions:</w:t>
      </w:r>
    </w:p>
    <w:p w14:paraId="6B253955" w14:textId="77777777" w:rsidR="009960FF" w:rsidRDefault="009960FF" w:rsidP="004A59E5">
      <w:pPr>
        <w:spacing w:after="0"/>
        <w:ind w:firstLine="56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8052"/>
      </w:tblGrid>
      <w:tr w:rsidR="00D03B4F" w14:paraId="19354EA7" w14:textId="77777777" w:rsidTr="00162B73">
        <w:trPr>
          <w:tblHeader/>
          <w:jc w:val="center"/>
        </w:trPr>
        <w:tc>
          <w:tcPr>
            <w:tcW w:w="0" w:type="auto"/>
            <w:vAlign w:val="center"/>
          </w:tcPr>
          <w:p w14:paraId="0E1571B6" w14:textId="77777777" w:rsidR="00D03B4F" w:rsidRDefault="00D03B4F" w:rsidP="007211A8">
            <w:pPr>
              <w:spacing w:after="0"/>
              <w:rPr>
                <w:b/>
                <w:bCs/>
              </w:rPr>
            </w:pPr>
            <w:r>
              <w:br w:type="page"/>
            </w:r>
            <w:r>
              <w:rPr>
                <w:b/>
                <w:bCs/>
              </w:rPr>
              <w:t>Reason</w:t>
            </w:r>
          </w:p>
        </w:tc>
        <w:tc>
          <w:tcPr>
            <w:tcW w:w="0" w:type="auto"/>
            <w:vAlign w:val="center"/>
          </w:tcPr>
          <w:p w14:paraId="67B80218" w14:textId="77777777" w:rsidR="00D03B4F" w:rsidRDefault="00D03B4F" w:rsidP="007211A8">
            <w:pPr>
              <w:spacing w:after="0"/>
              <w:rPr>
                <w:b/>
                <w:bCs/>
              </w:rPr>
            </w:pPr>
            <w:r>
              <w:rPr>
                <w:b/>
                <w:bCs/>
              </w:rPr>
              <w:t>Solution</w:t>
            </w:r>
          </w:p>
        </w:tc>
      </w:tr>
      <w:tr w:rsidR="00D03B4F" w14:paraId="20AB8262" w14:textId="77777777" w:rsidTr="004A59E5">
        <w:trPr>
          <w:jc w:val="center"/>
        </w:trPr>
        <w:tc>
          <w:tcPr>
            <w:tcW w:w="0" w:type="auto"/>
          </w:tcPr>
          <w:p w14:paraId="2D1720C7" w14:textId="77777777" w:rsidR="00D03B4F" w:rsidRPr="004A59E5" w:rsidRDefault="00D03B4F" w:rsidP="007211A8">
            <w:pPr>
              <w:spacing w:after="0"/>
              <w:rPr>
                <w:bCs/>
              </w:rPr>
            </w:pPr>
            <w:r w:rsidRPr="004A59E5">
              <w:rPr>
                <w:bCs/>
              </w:rPr>
              <w:t xml:space="preserve">Item failed funds checking </w:t>
            </w:r>
          </w:p>
        </w:tc>
        <w:tc>
          <w:tcPr>
            <w:tcW w:w="0" w:type="auto"/>
            <w:vAlign w:val="center"/>
          </w:tcPr>
          <w:p w14:paraId="6B515067" w14:textId="77777777" w:rsidR="00D03B4F" w:rsidRDefault="00D03B4F" w:rsidP="007211A8">
            <w:pPr>
              <w:spacing w:after="0"/>
            </w:pPr>
            <w:r>
              <w:t>Review the relevant project budget on the system and determine whether the value of the budget is correct.</w:t>
            </w:r>
            <w:r w:rsidR="005B6D21">
              <w:br/>
            </w:r>
          </w:p>
          <w:p w14:paraId="29865EA7" w14:textId="77777777" w:rsidR="00D03B4F" w:rsidRDefault="00D03B4F" w:rsidP="00F47738">
            <w:pPr>
              <w:pStyle w:val="ListBullet"/>
              <w:numPr>
                <w:ilvl w:val="0"/>
                <w:numId w:val="12"/>
              </w:numPr>
              <w:tabs>
                <w:tab w:val="clear" w:pos="576"/>
                <w:tab w:val="clear" w:pos="1152"/>
                <w:tab w:val="left" w:pos="409"/>
              </w:tabs>
              <w:spacing w:after="0"/>
            </w:pPr>
            <w:r>
              <w:t xml:space="preserve">If the project budget is correct and there are sufficient funds left to code a portion of the failed costs to the project, you should post the relevant portion to the project and move any remaining costs to a departmental cost centre. Note that if you attempt to post a transaction for £1,000 to a project, and </w:t>
            </w:r>
            <w:r>
              <w:lastRenderedPageBreak/>
              <w:t>there is only £999 of budget available, the system will reject the entire £1,000; it will not just reject £1.</w:t>
            </w:r>
            <w:r w:rsidR="004A59E5">
              <w:br/>
            </w:r>
          </w:p>
          <w:p w14:paraId="22EA016A" w14:textId="77777777" w:rsidR="00D03B4F" w:rsidRDefault="00D03B4F" w:rsidP="00F47738">
            <w:pPr>
              <w:pStyle w:val="ListBullet"/>
              <w:numPr>
                <w:ilvl w:val="0"/>
                <w:numId w:val="12"/>
              </w:numPr>
              <w:tabs>
                <w:tab w:val="clear" w:pos="576"/>
                <w:tab w:val="clear" w:pos="1152"/>
                <w:tab w:val="left" w:pos="409"/>
              </w:tabs>
              <w:spacing w:after="0"/>
            </w:pPr>
            <w:r>
              <w:t xml:space="preserve">If the project budget is incorrect and should be increased you should liaise with </w:t>
            </w:r>
            <w:r w:rsidR="004A59E5">
              <w:t>Research Services</w:t>
            </w:r>
            <w:r>
              <w:t xml:space="preserve"> if an RPF2 is required</w:t>
            </w:r>
            <w:r w:rsidR="004A59E5">
              <w:t>,</w:t>
            </w:r>
            <w:r>
              <w:t xml:space="preserve"> or </w:t>
            </w:r>
            <w:r w:rsidR="001546B0">
              <w:t>your Research Accounts Adviso</w:t>
            </w:r>
            <w:r w:rsidR="004A59E5">
              <w:t>r</w:t>
            </w:r>
            <w:r>
              <w:t xml:space="preserve"> if an RPF2 already exists for the budgetary amendment. Once the budget has been corrected, you can move the costs into the relevant project.</w:t>
            </w:r>
            <w:r w:rsidR="004A59E5">
              <w:br/>
            </w:r>
          </w:p>
          <w:p w14:paraId="064503B2" w14:textId="77777777" w:rsidR="00D03B4F" w:rsidRDefault="00D03B4F" w:rsidP="00F47738">
            <w:pPr>
              <w:pStyle w:val="ListBullet"/>
              <w:numPr>
                <w:ilvl w:val="0"/>
                <w:numId w:val="12"/>
              </w:numPr>
              <w:tabs>
                <w:tab w:val="clear" w:pos="576"/>
                <w:tab w:val="clear" w:pos="1152"/>
                <w:tab w:val="left" w:pos="409"/>
              </w:tabs>
              <w:spacing w:after="0"/>
            </w:pPr>
            <w:r>
              <w:t>Where a sponsor has agreed in their terms and conditions to supplement awards in line with national pay awards, no RPF2 will be issued. You should contact your Research Adviser for advice on how to have the budget amended. Once the budget has been corrected, you can move the costs into the relevant project.</w:t>
            </w:r>
            <w:r w:rsidR="004A59E5">
              <w:br/>
            </w:r>
          </w:p>
        </w:tc>
      </w:tr>
      <w:tr w:rsidR="00D03B4F" w14:paraId="6487D222" w14:textId="77777777" w:rsidTr="004A59E5">
        <w:trPr>
          <w:jc w:val="center"/>
        </w:trPr>
        <w:tc>
          <w:tcPr>
            <w:tcW w:w="0" w:type="auto"/>
          </w:tcPr>
          <w:p w14:paraId="6EB59E59" w14:textId="77777777" w:rsidR="00D03B4F" w:rsidRPr="004A59E5" w:rsidRDefault="00D03B4F" w:rsidP="007211A8">
            <w:pPr>
              <w:spacing w:after="0"/>
              <w:rPr>
                <w:bCs/>
              </w:rPr>
            </w:pPr>
            <w:r w:rsidRPr="004A59E5">
              <w:rPr>
                <w:bCs/>
              </w:rPr>
              <w:lastRenderedPageBreak/>
              <w:t>The project end date has expired</w:t>
            </w:r>
          </w:p>
        </w:tc>
        <w:tc>
          <w:tcPr>
            <w:tcW w:w="0" w:type="auto"/>
            <w:vAlign w:val="center"/>
          </w:tcPr>
          <w:p w14:paraId="4888B7BD" w14:textId="77777777" w:rsidR="00D03B4F" w:rsidRDefault="005B6D21" w:rsidP="007211A8">
            <w:pPr>
              <w:spacing w:after="0"/>
            </w:pPr>
            <w:r>
              <w:t>Review the e</w:t>
            </w:r>
            <w:r w:rsidR="00D03B4F">
              <w:t xml:space="preserve">nd </w:t>
            </w:r>
            <w:r>
              <w:t>d</w:t>
            </w:r>
            <w:r w:rsidR="00D03B4F">
              <w:t>ate on the system and determine whether this is correct or should be extended.</w:t>
            </w:r>
            <w:r w:rsidR="004A59E5">
              <w:br/>
            </w:r>
          </w:p>
          <w:p w14:paraId="3FFDADCB" w14:textId="77777777" w:rsidR="00D03B4F" w:rsidRDefault="00D03B4F" w:rsidP="00F47738">
            <w:pPr>
              <w:pStyle w:val="ListBullet"/>
              <w:numPr>
                <w:ilvl w:val="0"/>
                <w:numId w:val="13"/>
              </w:numPr>
              <w:tabs>
                <w:tab w:val="clear" w:pos="576"/>
                <w:tab w:val="left" w:pos="380"/>
              </w:tabs>
              <w:spacing w:after="0"/>
            </w:pPr>
            <w:r>
              <w:t>If the end date is correct and the expenditure cannot be posted to the project because it has finished, you should move the expenditure to a departmental cost centre.</w:t>
            </w:r>
            <w:r w:rsidR="004A59E5">
              <w:br/>
            </w:r>
          </w:p>
          <w:p w14:paraId="02012050" w14:textId="77777777" w:rsidR="00D03B4F" w:rsidRDefault="00D03B4F" w:rsidP="00F47738">
            <w:pPr>
              <w:pStyle w:val="ListBullet"/>
              <w:numPr>
                <w:ilvl w:val="0"/>
                <w:numId w:val="13"/>
              </w:numPr>
              <w:tabs>
                <w:tab w:val="clear" w:pos="576"/>
                <w:tab w:val="left" w:pos="380"/>
              </w:tabs>
              <w:spacing w:after="0"/>
            </w:pPr>
            <w:r>
              <w:t>If the end date is incorrect you should check the end date on the RPF1. If the end date on Oracle is consistent with the RPF1, Research Accounts will require Form RPF2 from Research Services before the project can be extended. Once the end date is correct, you should move the costs to the relevant project.</w:t>
            </w:r>
            <w:r w:rsidR="004A59E5">
              <w:br/>
            </w:r>
          </w:p>
          <w:p w14:paraId="00414F32" w14:textId="77777777" w:rsidR="00D03B4F" w:rsidRDefault="00D03B4F" w:rsidP="00F47738">
            <w:pPr>
              <w:pStyle w:val="ListBullet"/>
              <w:numPr>
                <w:ilvl w:val="0"/>
                <w:numId w:val="13"/>
              </w:numPr>
              <w:tabs>
                <w:tab w:val="clear" w:pos="576"/>
                <w:tab w:val="left" w:pos="380"/>
              </w:tabs>
              <w:spacing w:after="0"/>
            </w:pPr>
            <w:r>
              <w:t xml:space="preserve">If you have costs that were incurred before the end date, but that were originally </w:t>
            </w:r>
            <w:proofErr w:type="spellStart"/>
            <w:r>
              <w:t>misposted</w:t>
            </w:r>
            <w:proofErr w:type="spellEnd"/>
            <w:r>
              <w:t xml:space="preserve"> and can still be included in the final claim to the sponsor, you should seek advice from your Research Accounts Adviser. </w:t>
            </w:r>
            <w:r w:rsidR="004A59E5">
              <w:br/>
            </w:r>
          </w:p>
        </w:tc>
      </w:tr>
    </w:tbl>
    <w:p w14:paraId="49955031" w14:textId="77777777" w:rsidR="00D03B4F" w:rsidRDefault="00D03B4F" w:rsidP="007211A8">
      <w:pPr>
        <w:pStyle w:val="ListBullet"/>
        <w:numPr>
          <w:ilvl w:val="0"/>
          <w:numId w:val="0"/>
        </w:numPr>
        <w:spacing w:after="0"/>
        <w:ind w:left="567"/>
      </w:pPr>
    </w:p>
    <w:p w14:paraId="00323C53" w14:textId="77777777" w:rsidR="00865720" w:rsidRDefault="00865720" w:rsidP="004A59E5">
      <w:pPr>
        <w:pStyle w:val="Heading3"/>
        <w:numPr>
          <w:ilvl w:val="0"/>
          <w:numId w:val="0"/>
        </w:numPr>
        <w:spacing w:before="0" w:after="0"/>
        <w:rPr>
          <w:sz w:val="36"/>
          <w:szCs w:val="36"/>
        </w:rPr>
      </w:pPr>
    </w:p>
    <w:p w14:paraId="2240EB6F" w14:textId="77777777" w:rsidR="00D03B4F" w:rsidRPr="004A59E5" w:rsidRDefault="00D03B4F" w:rsidP="004A59E5">
      <w:pPr>
        <w:pStyle w:val="Heading3"/>
        <w:numPr>
          <w:ilvl w:val="0"/>
          <w:numId w:val="0"/>
        </w:numPr>
        <w:spacing w:before="0" w:after="0"/>
        <w:rPr>
          <w:sz w:val="36"/>
          <w:szCs w:val="36"/>
        </w:rPr>
      </w:pPr>
      <w:r w:rsidRPr="004A59E5">
        <w:rPr>
          <w:sz w:val="36"/>
          <w:szCs w:val="36"/>
        </w:rPr>
        <w:t>**9970 Cost Centres</w:t>
      </w:r>
    </w:p>
    <w:p w14:paraId="2F94CC68" w14:textId="77777777" w:rsidR="004A59E5" w:rsidRDefault="004A59E5" w:rsidP="004A59E5">
      <w:pPr>
        <w:pStyle w:val="Heading4"/>
        <w:numPr>
          <w:ilvl w:val="0"/>
          <w:numId w:val="0"/>
        </w:num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14:paraId="5602067B" w14:textId="77777777" w:rsidTr="005E5EE1">
        <w:tc>
          <w:tcPr>
            <w:tcW w:w="9846" w:type="dxa"/>
            <w:tcBorders>
              <w:top w:val="nil"/>
              <w:left w:val="nil"/>
              <w:bottom w:val="nil"/>
              <w:right w:val="nil"/>
            </w:tcBorders>
            <w:shd w:val="clear" w:color="auto" w:fill="D9D9D9"/>
          </w:tcPr>
          <w:p w14:paraId="7A7273CA" w14:textId="77777777" w:rsidR="004A59E5" w:rsidRDefault="004A59E5" w:rsidP="005E5EE1">
            <w:pPr>
              <w:pStyle w:val="Heading3"/>
              <w:numPr>
                <w:ilvl w:val="0"/>
                <w:numId w:val="0"/>
              </w:numPr>
              <w:spacing w:before="0" w:after="0"/>
            </w:pPr>
          </w:p>
          <w:p w14:paraId="13D10D90" w14:textId="77777777" w:rsidR="004A59E5" w:rsidRPr="00AC3EF3" w:rsidRDefault="004A59E5" w:rsidP="005E5EE1">
            <w:pPr>
              <w:pStyle w:val="Heading3"/>
              <w:numPr>
                <w:ilvl w:val="0"/>
                <w:numId w:val="0"/>
              </w:numPr>
              <w:spacing w:before="0" w:after="0"/>
            </w:pPr>
            <w:r w:rsidRPr="005E5EE1">
              <w:rPr>
                <w:szCs w:val="22"/>
              </w:rPr>
              <w:t>University Policy</w:t>
            </w:r>
            <w:r w:rsidRPr="005E5EE1">
              <w:rPr>
                <w:sz w:val="28"/>
                <w:szCs w:val="28"/>
              </w:rPr>
              <w:br/>
            </w:r>
            <w:r w:rsidRPr="005E5EE1">
              <w:rPr>
                <w:b w:val="0"/>
              </w:rPr>
              <w:t>Project suspense accounts should be reviewed and cleared on a monthly basis.</w:t>
            </w:r>
            <w:r w:rsidRPr="005E5EE1">
              <w:rPr>
                <w:b w:val="0"/>
              </w:rPr>
              <w:br/>
            </w:r>
          </w:p>
        </w:tc>
      </w:tr>
    </w:tbl>
    <w:p w14:paraId="26BF8D3A" w14:textId="77777777" w:rsidR="004A59E5" w:rsidRDefault="004A59E5" w:rsidP="004A59E5">
      <w:pPr>
        <w:pStyle w:val="Heading4"/>
        <w:numPr>
          <w:ilvl w:val="0"/>
          <w:numId w:val="0"/>
        </w:numPr>
        <w:spacing w:before="0" w:after="0"/>
        <w:ind w:left="864" w:hanging="864"/>
      </w:pPr>
    </w:p>
    <w:p w14:paraId="1D99BD2B" w14:textId="77777777" w:rsidR="00D03B4F" w:rsidRDefault="004F13DA" w:rsidP="007211A8">
      <w:pPr>
        <w:spacing w:after="0"/>
      </w:pPr>
      <w:r w:rsidRPr="004F13DA">
        <w:t xml:space="preserve">The **9970 cost centres are intended for use as a suspense account where costs are </w:t>
      </w:r>
      <w:proofErr w:type="spellStart"/>
      <w:r w:rsidRPr="004F13DA">
        <w:t>journaled</w:t>
      </w:r>
      <w:proofErr w:type="spellEnd"/>
      <w:r w:rsidRPr="004F13DA">
        <w:t xml:space="preserve"> from one expenditure type to another (please use the Transfer functionality for any other movements of expenditure items between projects/tasks). Balances on each of the natural accounts on the **9970 cost centres should therefore be NIL.</w:t>
      </w:r>
      <w:r w:rsidR="004A59E5">
        <w:br/>
      </w:r>
    </w:p>
    <w:p w14:paraId="2DFADEF5" w14:textId="77777777" w:rsidR="00F03290" w:rsidRDefault="004F13DA" w:rsidP="00865720">
      <w:pPr>
        <w:pStyle w:val="ListBullet"/>
        <w:numPr>
          <w:ilvl w:val="0"/>
          <w:numId w:val="0"/>
        </w:numPr>
        <w:spacing w:after="0"/>
      </w:pPr>
      <w:r>
        <w:t>We recommend that y</w:t>
      </w:r>
      <w:r w:rsidR="00D03B4F">
        <w:t xml:space="preserve">ou </w:t>
      </w:r>
      <w:r>
        <w:t xml:space="preserve">review your **9970 cost centre frequently (at least on a monthly basis), as balances on this cost centre are usually </w:t>
      </w:r>
      <w:r w:rsidR="00E82AF1">
        <w:t xml:space="preserve">generated by </w:t>
      </w:r>
      <w:r>
        <w:t>journals entered incorrectly.</w:t>
      </w:r>
      <w:r w:rsidR="008004CD">
        <w:t xml:space="preserve"> Fixing the original journal should also result in the balance being cleared.</w:t>
      </w:r>
    </w:p>
    <w:p w14:paraId="0C4829A9" w14:textId="77777777" w:rsidR="00F03290" w:rsidRDefault="00F03290" w:rsidP="00865720">
      <w:pPr>
        <w:pStyle w:val="ListBullet"/>
        <w:numPr>
          <w:ilvl w:val="0"/>
          <w:numId w:val="0"/>
        </w:numPr>
        <w:spacing w:after="0"/>
      </w:pPr>
    </w:p>
    <w:p w14:paraId="4772E4E7" w14:textId="77777777" w:rsidR="00F03290" w:rsidRDefault="00F03290" w:rsidP="00865720">
      <w:pPr>
        <w:pStyle w:val="ListBullet"/>
        <w:numPr>
          <w:ilvl w:val="0"/>
          <w:numId w:val="0"/>
        </w:numPr>
        <w:spacing w:after="0"/>
      </w:pPr>
    </w:p>
    <w:p w14:paraId="1DC447B7" w14:textId="77777777" w:rsidR="00865720" w:rsidRDefault="004A59E5" w:rsidP="00865720">
      <w:pPr>
        <w:pStyle w:val="ListBullet"/>
        <w:numPr>
          <w:ilvl w:val="0"/>
          <w:numId w:val="0"/>
        </w:numPr>
        <w:spacing w:after="0"/>
        <w:rPr>
          <w:sz w:val="36"/>
          <w:szCs w:val="36"/>
        </w:rPr>
      </w:pPr>
      <w:r>
        <w:br/>
      </w:r>
    </w:p>
    <w:p w14:paraId="0DFFEA23" w14:textId="77777777" w:rsidR="00D03B4F" w:rsidRPr="00865720" w:rsidRDefault="00D03B4F" w:rsidP="00865720">
      <w:pPr>
        <w:pStyle w:val="ListBullet"/>
        <w:numPr>
          <w:ilvl w:val="0"/>
          <w:numId w:val="0"/>
        </w:numPr>
        <w:spacing w:after="0"/>
        <w:rPr>
          <w:b/>
          <w:sz w:val="36"/>
          <w:szCs w:val="36"/>
        </w:rPr>
      </w:pPr>
      <w:r w:rsidRPr="00865720">
        <w:rPr>
          <w:b/>
          <w:sz w:val="36"/>
          <w:szCs w:val="36"/>
        </w:rPr>
        <w:lastRenderedPageBreak/>
        <w:t>Pre-Award (NX) Projects</w:t>
      </w:r>
    </w:p>
    <w:p w14:paraId="2DC5EC1A" w14:textId="77777777" w:rsidR="00596999" w:rsidRDefault="00596999" w:rsidP="00596999">
      <w:pPr>
        <w:pStyle w:val="Heading4"/>
        <w:numPr>
          <w:ilvl w:val="0"/>
          <w:numId w:val="0"/>
        </w:num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14:paraId="0EF585DA" w14:textId="77777777" w:rsidTr="005E5EE1">
        <w:tc>
          <w:tcPr>
            <w:tcW w:w="9846" w:type="dxa"/>
            <w:tcBorders>
              <w:top w:val="nil"/>
              <w:left w:val="nil"/>
              <w:bottom w:val="nil"/>
              <w:right w:val="nil"/>
            </w:tcBorders>
            <w:shd w:val="clear" w:color="auto" w:fill="D9D9D9"/>
          </w:tcPr>
          <w:p w14:paraId="1CFF5B71" w14:textId="77777777" w:rsidR="00596999" w:rsidRDefault="00596999" w:rsidP="005E5EE1">
            <w:pPr>
              <w:pStyle w:val="Heading3"/>
              <w:numPr>
                <w:ilvl w:val="0"/>
                <w:numId w:val="0"/>
              </w:numPr>
              <w:spacing w:before="0" w:after="0"/>
            </w:pPr>
          </w:p>
          <w:p w14:paraId="0B63C829" w14:textId="77777777" w:rsidR="00596999" w:rsidRPr="005E5EE1" w:rsidRDefault="00596999" w:rsidP="005E5EE1">
            <w:pPr>
              <w:spacing w:after="0"/>
              <w:rPr>
                <w:b/>
                <w:bCs/>
              </w:rPr>
            </w:pPr>
            <w:r w:rsidRPr="005E5EE1">
              <w:rPr>
                <w:b/>
                <w:szCs w:val="22"/>
              </w:rPr>
              <w:t>University Policy</w:t>
            </w:r>
            <w:r w:rsidRPr="005E5EE1">
              <w:rPr>
                <w:b/>
                <w:bCs/>
              </w:rPr>
              <w:t xml:space="preserve"> </w:t>
            </w:r>
            <w:r w:rsidRPr="005E5EE1">
              <w:rPr>
                <w:b/>
                <w:bCs/>
              </w:rPr>
              <w:br/>
            </w:r>
            <w:r w:rsidRPr="005E5EE1">
              <w:rPr>
                <w:bCs/>
              </w:rPr>
              <w:t>Project pre-award accounts should be reviewed and cleared (where possible) on a monthly basis.</w:t>
            </w:r>
          </w:p>
          <w:p w14:paraId="0E0272A9" w14:textId="77777777" w:rsidR="00596999" w:rsidRPr="00AC3EF3" w:rsidRDefault="00596999" w:rsidP="005E5EE1">
            <w:pPr>
              <w:pStyle w:val="Heading3"/>
              <w:numPr>
                <w:ilvl w:val="0"/>
                <w:numId w:val="0"/>
              </w:numPr>
              <w:spacing w:before="0" w:after="0"/>
            </w:pPr>
          </w:p>
        </w:tc>
      </w:tr>
    </w:tbl>
    <w:p w14:paraId="7C1CC878" w14:textId="77777777" w:rsidR="00596999" w:rsidRDefault="00596999" w:rsidP="00596999">
      <w:pPr>
        <w:pStyle w:val="Heading4"/>
        <w:numPr>
          <w:ilvl w:val="0"/>
          <w:numId w:val="0"/>
        </w:numPr>
        <w:spacing w:before="0" w:after="0"/>
        <w:ind w:left="864" w:hanging="864"/>
      </w:pPr>
    </w:p>
    <w:p w14:paraId="7743A059" w14:textId="77777777" w:rsidR="00D03B4F" w:rsidRDefault="00D03B4F" w:rsidP="007211A8">
      <w:pPr>
        <w:spacing w:after="0"/>
      </w:pPr>
      <w:r>
        <w:t xml:space="preserve">Departments may use </w:t>
      </w:r>
      <w:r w:rsidR="005B6D21">
        <w:t>p</w:t>
      </w:r>
      <w:r>
        <w:t>re-</w:t>
      </w:r>
      <w:r w:rsidR="005B6D21">
        <w:t>a</w:t>
      </w:r>
      <w:r>
        <w:t xml:space="preserve">ward </w:t>
      </w:r>
      <w:r w:rsidR="005B6D21">
        <w:t xml:space="preserve">accounts </w:t>
      </w:r>
      <w:r>
        <w:t xml:space="preserve">if it is necessary to incur expenditure in advance of an RPF1 or RPF2 for a research grant being issued by Research Services. The accounts should only be used when the financial risk is deemed to be minimal, and if Research Services have indicated that there is every reason to believe that the research will take place. Departments are advised to use separate </w:t>
      </w:r>
      <w:r w:rsidR="005B6D21">
        <w:t>t</w:t>
      </w:r>
      <w:r>
        <w:t>asks to diff</w:t>
      </w:r>
      <w:r w:rsidR="005B6D21">
        <w:t>erentiate between costs on the p</w:t>
      </w:r>
      <w:r>
        <w:t>re-</w:t>
      </w:r>
      <w:r w:rsidR="005B6D21">
        <w:t>a</w:t>
      </w:r>
      <w:r>
        <w:t xml:space="preserve">ward </w:t>
      </w:r>
      <w:r w:rsidR="005B6D21">
        <w:t>p</w:t>
      </w:r>
      <w:r>
        <w:t xml:space="preserve">roject that will ultimately be charged to different </w:t>
      </w:r>
      <w:r w:rsidR="005B6D21">
        <w:t>a</w:t>
      </w:r>
      <w:r>
        <w:t>wards.</w:t>
      </w:r>
    </w:p>
    <w:p w14:paraId="786B60CD" w14:textId="77777777" w:rsidR="005B6D21" w:rsidRDefault="005B6D21" w:rsidP="007211A8">
      <w:pPr>
        <w:spacing w:after="0"/>
      </w:pPr>
    </w:p>
    <w:p w14:paraId="4A6D9D05" w14:textId="77777777" w:rsidR="00D03B4F" w:rsidRDefault="00D03B4F" w:rsidP="007211A8">
      <w:pPr>
        <w:spacing w:after="0"/>
      </w:pPr>
      <w:r>
        <w:t xml:space="preserve">We do not automatically recognise balances on </w:t>
      </w:r>
      <w:r w:rsidR="005B6D21">
        <w:t>p</w:t>
      </w:r>
      <w:r>
        <w:t>re-</w:t>
      </w:r>
      <w:r w:rsidR="005B6D21">
        <w:t>a</w:t>
      </w:r>
      <w:r>
        <w:t xml:space="preserve">ward </w:t>
      </w:r>
      <w:r w:rsidR="005B6D21">
        <w:t>p</w:t>
      </w:r>
      <w:r>
        <w:t xml:space="preserve">rojects as research revenue. Every effort should be made to ensure that any balances on </w:t>
      </w:r>
      <w:r w:rsidR="005B6D21">
        <w:t>p</w:t>
      </w:r>
      <w:r>
        <w:t>re-</w:t>
      </w:r>
      <w:r w:rsidR="005B6D21">
        <w:t>a</w:t>
      </w:r>
      <w:r>
        <w:t xml:space="preserve">ward </w:t>
      </w:r>
      <w:r w:rsidR="005B6D21">
        <w:t>p</w:t>
      </w:r>
      <w:r>
        <w:t xml:space="preserve">rojects that can be moved onto a </w:t>
      </w:r>
      <w:r w:rsidR="005B6D21">
        <w:t>r</w:t>
      </w:r>
      <w:r>
        <w:t xml:space="preserve">esearch </w:t>
      </w:r>
      <w:r w:rsidR="005B6D21">
        <w:t>p</w:t>
      </w:r>
      <w:r>
        <w:t xml:space="preserve">roject have been moved before year end. Where balances remain on </w:t>
      </w:r>
      <w:r w:rsidR="005B6D21">
        <w:t>p</w:t>
      </w:r>
      <w:r>
        <w:t>re-</w:t>
      </w:r>
      <w:r w:rsidR="005B6D21">
        <w:t>a</w:t>
      </w:r>
      <w:r>
        <w:t xml:space="preserve">ward </w:t>
      </w:r>
      <w:r w:rsidR="005B6D21">
        <w:t>p</w:t>
      </w:r>
      <w:r>
        <w:t xml:space="preserve">rojects after </w:t>
      </w:r>
      <w:r w:rsidR="00177D3C">
        <w:t xml:space="preserve">the Projects module </w:t>
      </w:r>
      <w:r>
        <w:t xml:space="preserve">closes, departments can request that an adjustment is made to recognise revenue on these balances in the </w:t>
      </w:r>
      <w:r w:rsidR="005B6D21">
        <w:t>F</w:t>
      </w:r>
      <w:r>
        <w:t xml:space="preserve">inancial </w:t>
      </w:r>
      <w:r w:rsidR="005B6D21">
        <w:t>S</w:t>
      </w:r>
      <w:r>
        <w:t xml:space="preserve">tatements. </w:t>
      </w:r>
    </w:p>
    <w:p w14:paraId="6A2DAF17" w14:textId="77777777" w:rsidR="005B6D21" w:rsidRDefault="005B6D21" w:rsidP="007211A8">
      <w:pPr>
        <w:spacing w:after="0"/>
      </w:pPr>
    </w:p>
    <w:p w14:paraId="75A3033B" w14:textId="77834FB7" w:rsidR="005B6D21" w:rsidRDefault="00D03B4F" w:rsidP="005B6D21">
      <w:pPr>
        <w:spacing w:after="0"/>
        <w:rPr>
          <w:sz w:val="36"/>
          <w:szCs w:val="36"/>
        </w:rPr>
      </w:pPr>
      <w:r>
        <w:t xml:space="preserve">To do this, you need to complete the appropriate </w:t>
      </w:r>
      <w:r w:rsidR="00E476A0">
        <w:t>return</w:t>
      </w:r>
      <w:bookmarkStart w:id="0" w:name="_GoBack"/>
      <w:bookmarkEnd w:id="0"/>
      <w:r>
        <w:t xml:space="preserve"> detailing the transactions that make up the balance on the </w:t>
      </w:r>
      <w:r w:rsidR="005B6D21">
        <w:t>p</w:t>
      </w:r>
      <w:r>
        <w:t>re-</w:t>
      </w:r>
      <w:r w:rsidR="005B6D21">
        <w:t>a</w:t>
      </w:r>
      <w:r>
        <w:t>ward project and the Research Services Case to which they relate. If Research Services agree</w:t>
      </w:r>
      <w:r w:rsidR="005B6D21">
        <w:t>s</w:t>
      </w:r>
      <w:r>
        <w:t xml:space="preserve"> that there is every expectation that the award will be made, Research Accounts will</w:t>
      </w:r>
      <w:r w:rsidR="005B6D21">
        <w:t xml:space="preserve"> make the necessary adjustment.</w:t>
      </w:r>
      <w:r>
        <w:rPr>
          <w:rStyle w:val="Hyperlink"/>
        </w:rPr>
        <w:br/>
      </w:r>
    </w:p>
    <w:p w14:paraId="09BFF4A2" w14:textId="77777777" w:rsidR="00D03B4F" w:rsidRPr="005B6D21" w:rsidRDefault="00D03B4F" w:rsidP="005B6D21">
      <w:pPr>
        <w:spacing w:after="0"/>
        <w:rPr>
          <w:rFonts w:cs="Arial"/>
          <w:b/>
          <w:bCs/>
          <w:sz w:val="36"/>
          <w:szCs w:val="36"/>
        </w:rPr>
      </w:pPr>
      <w:r w:rsidRPr="005B6D21">
        <w:rPr>
          <w:rFonts w:cs="Arial"/>
          <w:b/>
          <w:bCs/>
          <w:sz w:val="36"/>
          <w:szCs w:val="36"/>
        </w:rPr>
        <w:t>Research Projects - Advances</w:t>
      </w:r>
    </w:p>
    <w:p w14:paraId="2418AA9E" w14:textId="77777777" w:rsidR="00AF0FD7" w:rsidRDefault="00AF0FD7" w:rsidP="00AF0FD7">
      <w:pPr>
        <w:pStyle w:val="Heading4"/>
        <w:numPr>
          <w:ilvl w:val="0"/>
          <w:numId w:val="0"/>
        </w:num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65720" w14:paraId="3DCDD7C8" w14:textId="77777777" w:rsidTr="005E5EE1">
        <w:tc>
          <w:tcPr>
            <w:tcW w:w="9846" w:type="dxa"/>
            <w:tcBorders>
              <w:top w:val="nil"/>
              <w:left w:val="nil"/>
              <w:bottom w:val="nil"/>
              <w:right w:val="nil"/>
            </w:tcBorders>
            <w:shd w:val="clear" w:color="auto" w:fill="D9D9D9"/>
          </w:tcPr>
          <w:p w14:paraId="615638FA" w14:textId="77777777" w:rsidR="00AF0FD7" w:rsidRDefault="00AF0FD7" w:rsidP="005E5EE1">
            <w:pPr>
              <w:pStyle w:val="Heading3"/>
              <w:numPr>
                <w:ilvl w:val="0"/>
                <w:numId w:val="0"/>
              </w:numPr>
              <w:spacing w:before="0" w:after="0"/>
            </w:pPr>
          </w:p>
          <w:p w14:paraId="43D4B6E5" w14:textId="77777777" w:rsidR="008224F7" w:rsidRDefault="00AF0FD7" w:rsidP="005E5EE1">
            <w:pPr>
              <w:spacing w:after="0"/>
            </w:pPr>
            <w:r w:rsidRPr="005E5EE1">
              <w:rPr>
                <w:b/>
                <w:szCs w:val="22"/>
              </w:rPr>
              <w:t>University Policy</w:t>
            </w:r>
            <w:r w:rsidRPr="005E5EE1">
              <w:rPr>
                <w:b/>
                <w:bCs/>
              </w:rPr>
              <w:t xml:space="preserve"> </w:t>
            </w:r>
            <w:r w:rsidRPr="005E5EE1">
              <w:rPr>
                <w:b/>
                <w:bCs/>
              </w:rPr>
              <w:br/>
            </w:r>
            <w:r w:rsidR="008224F7">
              <w:t xml:space="preserve">We do not recognise research revenue or bill sponsors for advances paid out, because until an expenses claim form showing how the advance has been applied is submitted, there is no certainty that the advance will be used in full or for a purpose that meets the award conditions. Failure to clear advances on a regular basis therefore results in pressure on the University’s </w:t>
            </w:r>
            <w:proofErr w:type="spellStart"/>
            <w:r w:rsidR="008224F7">
              <w:t>cashflow</w:t>
            </w:r>
            <w:proofErr w:type="spellEnd"/>
            <w:r w:rsidR="008224F7">
              <w:t>. It also increases the risk of advances being non-recoverable.</w:t>
            </w:r>
          </w:p>
          <w:p w14:paraId="5279547E" w14:textId="77777777" w:rsidR="008224F7" w:rsidRDefault="008224F7" w:rsidP="005E5EE1">
            <w:pPr>
              <w:pStyle w:val="ListBullet"/>
              <w:numPr>
                <w:ilvl w:val="0"/>
                <w:numId w:val="0"/>
              </w:numPr>
              <w:spacing w:after="0"/>
            </w:pPr>
          </w:p>
          <w:p w14:paraId="13AB55CB" w14:textId="77777777" w:rsidR="008224F7" w:rsidRPr="005E5EE1" w:rsidRDefault="008224F7" w:rsidP="005E5EE1">
            <w:pPr>
              <w:pStyle w:val="ListBullet"/>
              <w:numPr>
                <w:ilvl w:val="0"/>
                <w:numId w:val="0"/>
              </w:numPr>
              <w:spacing w:after="0"/>
              <w:rPr>
                <w:b/>
                <w:bCs/>
                <w:sz w:val="28"/>
              </w:rPr>
            </w:pPr>
            <w:r>
              <w:t>Departments should regularly review outstanding advances, and ensure that an Advance Reconciliation Form, adequately supported, is submitted as soon as possible, and no later than two weeks after the individual’s return.</w:t>
            </w:r>
          </w:p>
          <w:p w14:paraId="2F07156E" w14:textId="77777777" w:rsidR="00AF0FD7" w:rsidRPr="00AC3EF3" w:rsidRDefault="00AF0FD7" w:rsidP="005E5EE1">
            <w:pPr>
              <w:pStyle w:val="Heading3"/>
              <w:numPr>
                <w:ilvl w:val="0"/>
                <w:numId w:val="0"/>
              </w:numPr>
              <w:spacing w:before="0" w:after="0"/>
            </w:pPr>
          </w:p>
        </w:tc>
      </w:tr>
    </w:tbl>
    <w:p w14:paraId="1CDBDDB0" w14:textId="77777777" w:rsidR="00AF0FD7" w:rsidRDefault="00AF0FD7" w:rsidP="007211A8">
      <w:pPr>
        <w:spacing w:after="0"/>
      </w:pPr>
    </w:p>
    <w:p w14:paraId="39D46E19" w14:textId="77777777" w:rsidR="00D03B4F" w:rsidRDefault="00D03B4F" w:rsidP="007211A8">
      <w:pPr>
        <w:spacing w:after="0"/>
      </w:pPr>
      <w:r>
        <w:t xml:space="preserve">If expenditure is not cleared from the research project suspense, pre-award </w:t>
      </w:r>
      <w:r w:rsidRPr="00C536CF">
        <w:t xml:space="preserve">and </w:t>
      </w:r>
      <w:r>
        <w:t>**9970 accounts, or if advances are not cleared promptly:</w:t>
      </w:r>
      <w:r w:rsidR="008224F7">
        <w:br/>
      </w:r>
    </w:p>
    <w:p w14:paraId="259081A9" w14:textId="77777777" w:rsidR="00D03B4F" w:rsidRDefault="00D03B4F" w:rsidP="007211A8">
      <w:pPr>
        <w:pStyle w:val="ListBullet"/>
        <w:tabs>
          <w:tab w:val="clear" w:pos="576"/>
          <w:tab w:val="num" w:pos="993"/>
        </w:tabs>
        <w:spacing w:after="0"/>
        <w:ind w:left="993" w:hanging="284"/>
      </w:pPr>
      <w:r>
        <w:t xml:space="preserve">The expenditure will be treated as general departmental expenditure and there is no corresponding revenue recognition for the department. This could have a significant </w:t>
      </w:r>
      <w:r w:rsidR="006875A4">
        <w:t>impact on your year-</w:t>
      </w:r>
      <w:r>
        <w:t>end figures.</w:t>
      </w:r>
      <w:r w:rsidR="008224F7">
        <w:br/>
      </w:r>
    </w:p>
    <w:p w14:paraId="33CAFC4C" w14:textId="77777777" w:rsidR="00D03B4F" w:rsidRDefault="00D03B4F" w:rsidP="007211A8">
      <w:pPr>
        <w:pStyle w:val="ListBullet"/>
        <w:tabs>
          <w:tab w:val="clear" w:pos="576"/>
          <w:tab w:val="num" w:pos="993"/>
        </w:tabs>
        <w:spacing w:after="0"/>
        <w:ind w:left="993" w:hanging="284"/>
      </w:pPr>
      <w:r>
        <w:t>Sponsor claims may be understated</w:t>
      </w:r>
      <w:r w:rsidR="0013659F">
        <w:t xml:space="preserve">, which </w:t>
      </w:r>
      <w:r>
        <w:t>will impact University cash flow</w:t>
      </w:r>
      <w:r w:rsidR="0013659F">
        <w:t>s</w:t>
      </w:r>
      <w:r>
        <w:t xml:space="preserve">. </w:t>
      </w:r>
      <w:r w:rsidR="0013659F">
        <w:t>If</w:t>
      </w:r>
      <w:r>
        <w:t xml:space="preserve"> </w:t>
      </w:r>
      <w:r w:rsidR="0013659F">
        <w:t xml:space="preserve">the </w:t>
      </w:r>
      <w:r>
        <w:t xml:space="preserve">under-claim </w:t>
      </w:r>
      <w:r w:rsidR="0013659F">
        <w:t xml:space="preserve">is </w:t>
      </w:r>
      <w:r>
        <w:t xml:space="preserve">on a final </w:t>
      </w:r>
      <w:r w:rsidR="00A13290">
        <w:t>invoice</w:t>
      </w:r>
      <w:r w:rsidR="0013659F">
        <w:t>,</w:t>
      </w:r>
      <w:r>
        <w:t xml:space="preserve"> the department </w:t>
      </w:r>
      <w:r w:rsidR="0013659F">
        <w:t xml:space="preserve">may </w:t>
      </w:r>
      <w:r>
        <w:t>have to bear any unrecovered costs.</w:t>
      </w:r>
      <w:r w:rsidR="008224F7">
        <w:br/>
      </w:r>
    </w:p>
    <w:p w14:paraId="0D3DC987" w14:textId="77777777" w:rsidR="00D03B4F" w:rsidRPr="00CF3B97" w:rsidRDefault="00D03B4F" w:rsidP="007211A8">
      <w:pPr>
        <w:pStyle w:val="ListBullet"/>
        <w:tabs>
          <w:tab w:val="clear" w:pos="576"/>
          <w:tab w:val="num" w:pos="993"/>
        </w:tabs>
        <w:spacing w:after="0"/>
        <w:ind w:left="993" w:hanging="284"/>
        <w:rPr>
          <w:b/>
          <w:bCs/>
          <w:sz w:val="28"/>
        </w:rPr>
      </w:pPr>
      <w:r>
        <w:t xml:space="preserve">The expenditure will not be treated as research in departments’ financial statements, and hence will not be recognised for the data returns to external bodies such as </w:t>
      </w:r>
      <w:r w:rsidR="00E73197">
        <w:t>OFs</w:t>
      </w:r>
      <w:r>
        <w:t xml:space="preserve">. This may result in </w:t>
      </w:r>
      <w:r w:rsidR="00AC24B4">
        <w:t>Quality-R</w:t>
      </w:r>
      <w:r>
        <w:t>elated (QR) research funding being lost or delayed.</w:t>
      </w:r>
    </w:p>
    <w:p w14:paraId="1668F253" w14:textId="77777777" w:rsidR="00D03B4F" w:rsidRDefault="00D03B4F" w:rsidP="007211A8">
      <w:pPr>
        <w:pStyle w:val="ListBullet"/>
        <w:numPr>
          <w:ilvl w:val="0"/>
          <w:numId w:val="0"/>
        </w:numPr>
        <w:spacing w:after="0"/>
        <w:ind w:left="567" w:hanging="567"/>
        <w:rPr>
          <w:b/>
          <w:bCs/>
          <w:sz w:val="28"/>
        </w:rPr>
      </w:pPr>
    </w:p>
    <w:p w14:paraId="5325090E" w14:textId="77777777" w:rsidR="00D03B4F" w:rsidRPr="005E5EE1" w:rsidRDefault="00D03B4F" w:rsidP="005E5EE1">
      <w:pPr>
        <w:spacing w:after="0"/>
        <w:rPr>
          <w:rFonts w:cs="Arial"/>
          <w:b/>
          <w:bCs/>
          <w:sz w:val="36"/>
          <w:szCs w:val="36"/>
        </w:rPr>
      </w:pPr>
      <w:bookmarkStart w:id="1" w:name="_Ref263757606"/>
      <w:r w:rsidRPr="005E5EE1">
        <w:rPr>
          <w:rFonts w:cs="Arial"/>
          <w:b/>
          <w:bCs/>
          <w:sz w:val="36"/>
          <w:szCs w:val="36"/>
        </w:rPr>
        <w:t xml:space="preserve">Data verification exercise: charity support and business research </w:t>
      </w:r>
      <w:r w:rsidR="008224F7" w:rsidRPr="005E5EE1">
        <w:rPr>
          <w:rFonts w:cs="Arial"/>
          <w:b/>
          <w:bCs/>
          <w:sz w:val="36"/>
          <w:szCs w:val="36"/>
        </w:rPr>
        <w:t>Q</w:t>
      </w:r>
      <w:r w:rsidRPr="005E5EE1">
        <w:rPr>
          <w:rFonts w:cs="Arial"/>
          <w:b/>
          <w:bCs/>
          <w:sz w:val="36"/>
          <w:szCs w:val="36"/>
        </w:rPr>
        <w:t xml:space="preserve">R research funding from </w:t>
      </w:r>
      <w:proofErr w:type="spellStart"/>
      <w:r w:rsidR="005710E2">
        <w:rPr>
          <w:rFonts w:cs="Arial"/>
          <w:b/>
          <w:bCs/>
          <w:sz w:val="36"/>
          <w:szCs w:val="36"/>
        </w:rPr>
        <w:t>OfS</w:t>
      </w:r>
      <w:proofErr w:type="spellEnd"/>
    </w:p>
    <w:p w14:paraId="4ED9530C" w14:textId="77777777" w:rsidR="005E5EE1" w:rsidRDefault="005E5EE1" w:rsidP="007211A8">
      <w:pPr>
        <w:spacing w:after="0"/>
        <w:rPr>
          <w:bCs/>
        </w:rPr>
      </w:pPr>
    </w:p>
    <w:p w14:paraId="0253E1F5" w14:textId="5E4ED0A1" w:rsidR="00D03B4F" w:rsidRDefault="00D03B4F" w:rsidP="007211A8">
      <w:pPr>
        <w:spacing w:after="0"/>
        <w:rPr>
          <w:bCs/>
        </w:rPr>
      </w:pPr>
      <w:r>
        <w:rPr>
          <w:bCs/>
        </w:rPr>
        <w:t>Research income data</w:t>
      </w:r>
      <w:r w:rsidRPr="00F269C8">
        <w:rPr>
          <w:bCs/>
        </w:rPr>
        <w:t xml:space="preserve"> is submitted </w:t>
      </w:r>
      <w:r>
        <w:rPr>
          <w:bCs/>
        </w:rPr>
        <w:t xml:space="preserve">annually </w:t>
      </w:r>
      <w:r w:rsidRPr="00F269C8">
        <w:rPr>
          <w:bCs/>
        </w:rPr>
        <w:t xml:space="preserve">to </w:t>
      </w:r>
      <w:proofErr w:type="spellStart"/>
      <w:r w:rsidR="00E73197">
        <w:rPr>
          <w:bCs/>
        </w:rPr>
        <w:t>O</w:t>
      </w:r>
      <w:r w:rsidR="008C5460">
        <w:rPr>
          <w:bCs/>
        </w:rPr>
        <w:t>fS</w:t>
      </w:r>
      <w:proofErr w:type="spellEnd"/>
      <w:r w:rsidR="00E73197" w:rsidRPr="00F269C8">
        <w:rPr>
          <w:bCs/>
        </w:rPr>
        <w:t xml:space="preserve"> </w:t>
      </w:r>
      <w:r>
        <w:rPr>
          <w:bCs/>
        </w:rPr>
        <w:t>in order to claim charity support and business r</w:t>
      </w:r>
      <w:r w:rsidRPr="00F269C8">
        <w:rPr>
          <w:bCs/>
        </w:rPr>
        <w:t>esearch QR</w:t>
      </w:r>
      <w:r w:rsidR="00865720">
        <w:rPr>
          <w:bCs/>
        </w:rPr>
        <w:t xml:space="preserve"> (</w:t>
      </w:r>
      <w:r w:rsidR="00865720" w:rsidRPr="00F269C8">
        <w:rPr>
          <w:bCs/>
        </w:rPr>
        <w:t>Quality-Related</w:t>
      </w:r>
      <w:r w:rsidRPr="00F269C8">
        <w:rPr>
          <w:bCs/>
        </w:rPr>
        <w:t xml:space="preserve">) research </w:t>
      </w:r>
      <w:r>
        <w:rPr>
          <w:bCs/>
        </w:rPr>
        <w:t xml:space="preserve">funding, </w:t>
      </w:r>
      <w:r w:rsidRPr="00F269C8">
        <w:rPr>
          <w:bCs/>
        </w:rPr>
        <w:t>and to comply with statutory reporting requirements</w:t>
      </w:r>
      <w:r>
        <w:rPr>
          <w:bCs/>
        </w:rPr>
        <w:t>.</w:t>
      </w:r>
    </w:p>
    <w:p w14:paraId="67102B60" w14:textId="77777777" w:rsidR="008224F7" w:rsidRDefault="008224F7" w:rsidP="007211A8">
      <w:pPr>
        <w:spacing w:after="0"/>
        <w:rPr>
          <w:bCs/>
        </w:rPr>
      </w:pPr>
    </w:p>
    <w:p w14:paraId="725CE4A1" w14:textId="77777777" w:rsidR="00D03B4F" w:rsidRDefault="00745A0C" w:rsidP="007211A8">
      <w:pPr>
        <w:spacing w:after="0"/>
        <w:rPr>
          <w:bCs/>
        </w:rPr>
      </w:pPr>
      <w:r>
        <w:rPr>
          <w:bCs/>
        </w:rPr>
        <w:t>Whilst Research A</w:t>
      </w:r>
      <w:r w:rsidR="00D03B4F">
        <w:rPr>
          <w:bCs/>
        </w:rPr>
        <w:t>ccounts checks the accuracy of the income figures, departments have to verify the following information as the r</w:t>
      </w:r>
      <w:r w:rsidR="005E5EE1">
        <w:rPr>
          <w:bCs/>
        </w:rPr>
        <w:t>eturns can be subject to audit:</w:t>
      </w:r>
    </w:p>
    <w:p w14:paraId="70BBF4C3" w14:textId="77777777" w:rsidR="00865720" w:rsidRDefault="00865720" w:rsidP="007211A8">
      <w:pPr>
        <w:spacing w:after="0"/>
        <w:rPr>
          <w:bCs/>
        </w:rPr>
      </w:pPr>
    </w:p>
    <w:p w14:paraId="75A9DBD7" w14:textId="77777777" w:rsidR="00F14D1D" w:rsidRDefault="00F14D1D" w:rsidP="00F47738">
      <w:pPr>
        <w:numPr>
          <w:ilvl w:val="0"/>
          <w:numId w:val="5"/>
        </w:numPr>
        <w:tabs>
          <w:tab w:val="clear" w:pos="1152"/>
          <w:tab w:val="left" w:pos="993"/>
        </w:tabs>
        <w:spacing w:after="0"/>
        <w:ind w:left="993" w:hanging="284"/>
        <w:rPr>
          <w:bCs/>
        </w:rPr>
      </w:pPr>
      <w:r>
        <w:rPr>
          <w:bCs/>
        </w:rPr>
        <w:t>Ensure that the sponsor name is correct.</w:t>
      </w:r>
    </w:p>
    <w:p w14:paraId="1063C2D1" w14:textId="77777777" w:rsidR="00F14D1D" w:rsidRPr="00F14D1D" w:rsidRDefault="00F14D1D" w:rsidP="00F14D1D">
      <w:pPr>
        <w:numPr>
          <w:ilvl w:val="0"/>
          <w:numId w:val="5"/>
        </w:numPr>
        <w:tabs>
          <w:tab w:val="clear" w:pos="1152"/>
          <w:tab w:val="left" w:pos="993"/>
        </w:tabs>
        <w:spacing w:after="0"/>
        <w:ind w:left="993" w:hanging="284"/>
        <w:rPr>
          <w:bCs/>
        </w:rPr>
      </w:pPr>
      <w:r>
        <w:rPr>
          <w:bCs/>
        </w:rPr>
        <w:t>The accuracy of award Type/</w:t>
      </w:r>
      <w:proofErr w:type="spellStart"/>
      <w:r w:rsidR="00FA40D2">
        <w:rPr>
          <w:bCs/>
        </w:rPr>
        <w:t>OfS</w:t>
      </w:r>
      <w:proofErr w:type="spellEnd"/>
      <w:r w:rsidR="00FA40D2">
        <w:rPr>
          <w:bCs/>
        </w:rPr>
        <w:t xml:space="preserve"> </w:t>
      </w:r>
      <w:r>
        <w:rPr>
          <w:bCs/>
        </w:rPr>
        <w:t>category assigned to each award.</w:t>
      </w:r>
    </w:p>
    <w:p w14:paraId="5E357B34" w14:textId="77777777" w:rsidR="00D03B4F" w:rsidRDefault="00D03B4F" w:rsidP="00F47738">
      <w:pPr>
        <w:numPr>
          <w:ilvl w:val="0"/>
          <w:numId w:val="5"/>
        </w:numPr>
        <w:tabs>
          <w:tab w:val="clear" w:pos="1152"/>
          <w:tab w:val="left" w:pos="993"/>
        </w:tabs>
        <w:spacing w:after="0"/>
        <w:ind w:left="993" w:hanging="284"/>
        <w:rPr>
          <w:bCs/>
        </w:rPr>
      </w:pPr>
      <w:r>
        <w:rPr>
          <w:bCs/>
        </w:rPr>
        <w:t xml:space="preserve">Identify awards that fund </w:t>
      </w:r>
      <w:r>
        <w:rPr>
          <w:bCs/>
          <w:u w:val="single"/>
        </w:rPr>
        <w:t>only</w:t>
      </w:r>
      <w:r>
        <w:rPr>
          <w:bCs/>
        </w:rPr>
        <w:t xml:space="preserve"> a studentship</w:t>
      </w:r>
      <w:r w:rsidR="00865720">
        <w:rPr>
          <w:bCs/>
        </w:rPr>
        <w:t>.</w:t>
      </w:r>
    </w:p>
    <w:p w14:paraId="44C46B55" w14:textId="77777777" w:rsidR="00D03B4F" w:rsidRDefault="00D03B4F" w:rsidP="00F47738">
      <w:pPr>
        <w:numPr>
          <w:ilvl w:val="0"/>
          <w:numId w:val="5"/>
        </w:numPr>
        <w:tabs>
          <w:tab w:val="clear" w:pos="1152"/>
          <w:tab w:val="left" w:pos="993"/>
        </w:tabs>
        <w:spacing w:after="0"/>
        <w:ind w:left="993" w:hanging="284"/>
        <w:rPr>
          <w:bCs/>
        </w:rPr>
      </w:pPr>
      <w:r>
        <w:rPr>
          <w:bCs/>
        </w:rPr>
        <w:t xml:space="preserve">Identify if a QR eligible award that runs for over </w:t>
      </w:r>
      <w:r w:rsidR="00745A0C">
        <w:rPr>
          <w:bCs/>
        </w:rPr>
        <w:t>five</w:t>
      </w:r>
      <w:r>
        <w:rPr>
          <w:bCs/>
        </w:rPr>
        <w:t xml:space="preserve"> year</w:t>
      </w:r>
      <w:r w:rsidR="00745A0C">
        <w:rPr>
          <w:bCs/>
        </w:rPr>
        <w:t>s</w:t>
      </w:r>
      <w:r>
        <w:rPr>
          <w:bCs/>
        </w:rPr>
        <w:t xml:space="preserve"> has been externally peer reviewed after every five years</w:t>
      </w:r>
      <w:r w:rsidR="00865720">
        <w:rPr>
          <w:bCs/>
        </w:rPr>
        <w:t>.</w:t>
      </w:r>
    </w:p>
    <w:p w14:paraId="3E5675DE" w14:textId="77777777" w:rsidR="00865720" w:rsidRDefault="00865720" w:rsidP="00865720">
      <w:pPr>
        <w:tabs>
          <w:tab w:val="clear" w:pos="1152"/>
          <w:tab w:val="left" w:pos="993"/>
        </w:tabs>
        <w:spacing w:after="0"/>
        <w:ind w:left="993"/>
        <w:rPr>
          <w:bCs/>
        </w:rPr>
      </w:pPr>
    </w:p>
    <w:p w14:paraId="15F4A543" w14:textId="77777777" w:rsidR="00D03B4F" w:rsidRDefault="00D03B4F" w:rsidP="007211A8">
      <w:pPr>
        <w:spacing w:after="0"/>
        <w:rPr>
          <w:bCs/>
        </w:rPr>
      </w:pPr>
      <w:r>
        <w:rPr>
          <w:bCs/>
        </w:rPr>
        <w:t xml:space="preserve">Departments are sent out data for verification every quarter from the second quarter onwards with instructions on how the data verification should be carried out. A thorough check of the data is essential </w:t>
      </w:r>
      <w:r w:rsidR="00865720">
        <w:rPr>
          <w:bCs/>
        </w:rPr>
        <w:t xml:space="preserve">to ensure </w:t>
      </w:r>
      <w:r>
        <w:rPr>
          <w:bCs/>
        </w:rPr>
        <w:t xml:space="preserve">that </w:t>
      </w:r>
      <w:r w:rsidR="00865720">
        <w:rPr>
          <w:bCs/>
        </w:rPr>
        <w:t xml:space="preserve">the University </w:t>
      </w:r>
      <w:r>
        <w:rPr>
          <w:bCs/>
        </w:rPr>
        <w:t>fully claim</w:t>
      </w:r>
      <w:r w:rsidR="00680E41">
        <w:rPr>
          <w:bCs/>
        </w:rPr>
        <w:t>s</w:t>
      </w:r>
      <w:r>
        <w:rPr>
          <w:bCs/>
        </w:rPr>
        <w:t xml:space="preserve"> QR funding and </w:t>
      </w:r>
      <w:r w:rsidR="00680E41">
        <w:rPr>
          <w:bCs/>
        </w:rPr>
        <w:t xml:space="preserve">is </w:t>
      </w:r>
      <w:r>
        <w:rPr>
          <w:bCs/>
        </w:rPr>
        <w:t xml:space="preserve">prepared for audit queries. </w:t>
      </w:r>
    </w:p>
    <w:p w14:paraId="6574A61F" w14:textId="77777777" w:rsidR="008224F7" w:rsidRDefault="008224F7" w:rsidP="008224F7">
      <w:pPr>
        <w:pStyle w:val="Heading3"/>
        <w:numPr>
          <w:ilvl w:val="0"/>
          <w:numId w:val="0"/>
        </w:numPr>
        <w:spacing w:before="0" w:after="0"/>
        <w:ind w:left="720" w:hanging="720"/>
      </w:pPr>
    </w:p>
    <w:p w14:paraId="4715E899" w14:textId="77777777" w:rsidR="00D03B4F" w:rsidRPr="00680E41" w:rsidRDefault="00D03B4F" w:rsidP="008224F7">
      <w:pPr>
        <w:pStyle w:val="Heading3"/>
        <w:numPr>
          <w:ilvl w:val="0"/>
          <w:numId w:val="0"/>
        </w:numPr>
        <w:spacing w:before="0" w:after="0"/>
        <w:ind w:left="720" w:hanging="720"/>
        <w:rPr>
          <w:sz w:val="36"/>
          <w:szCs w:val="36"/>
        </w:rPr>
      </w:pPr>
      <w:r w:rsidRPr="00680E41">
        <w:rPr>
          <w:sz w:val="36"/>
          <w:szCs w:val="36"/>
        </w:rPr>
        <w:t>Who to contact with your queries</w:t>
      </w:r>
      <w:bookmarkEnd w:id="1"/>
    </w:p>
    <w:p w14:paraId="2E8920A8" w14:textId="77777777" w:rsidR="00680E41" w:rsidRDefault="00680E41" w:rsidP="007211A8">
      <w:pPr>
        <w:spacing w:after="0"/>
      </w:pPr>
    </w:p>
    <w:p w14:paraId="5DB69629" w14:textId="77777777" w:rsidR="00DA10F1" w:rsidRPr="00BD74D6" w:rsidRDefault="00D03B4F" w:rsidP="00177D3C">
      <w:pPr>
        <w:spacing w:after="0"/>
        <w:rPr>
          <w:bCs/>
        </w:rPr>
      </w:pPr>
      <w:r>
        <w:t xml:space="preserve">For queries on existing grant data or on Projects/GL cut-off issues, please contact </w:t>
      </w:r>
      <w:r w:rsidR="005710E2">
        <w:t xml:space="preserve">Samuel </w:t>
      </w:r>
      <w:proofErr w:type="spellStart"/>
      <w:r w:rsidR="005710E2">
        <w:t>Hannis</w:t>
      </w:r>
      <w:proofErr w:type="spellEnd"/>
      <w:r>
        <w:t xml:space="preserve"> </w:t>
      </w:r>
      <w:r w:rsidR="00680E41">
        <w:t>(</w:t>
      </w:r>
      <w:hyperlink r:id="rId11" w:history="1">
        <w:r w:rsidR="00FA40D2">
          <w:rPr>
            <w:rStyle w:val="Hyperlink"/>
          </w:rPr>
          <w:t>samuel.hannis</w:t>
        </w:r>
        <w:r w:rsidR="00FA40D2" w:rsidRPr="00EC3681">
          <w:rPr>
            <w:rStyle w:val="Hyperlink"/>
          </w:rPr>
          <w:t>@admin.ox.ac.uk</w:t>
        </w:r>
      </w:hyperlink>
      <w:r w:rsidR="005710E2">
        <w:rPr>
          <w:rStyle w:val="Hyperlink"/>
        </w:rPr>
        <w:t>)</w:t>
      </w:r>
      <w:r w:rsidR="00680E41">
        <w:t xml:space="preserve"> </w:t>
      </w:r>
      <w:r w:rsidR="00745A0C">
        <w:t>or your Research Accounts Adviso</w:t>
      </w:r>
      <w:r>
        <w:t xml:space="preserve">r. If an RPF1 or RPF2 is required, contact </w:t>
      </w:r>
      <w:r w:rsidRPr="00C536CF">
        <w:t>Research Services</w:t>
      </w:r>
      <w:r>
        <w:t>.</w:t>
      </w:r>
      <w:r>
        <w:br/>
      </w:r>
    </w:p>
    <w:sectPr w:rsidR="00DA10F1" w:rsidRPr="00BD74D6" w:rsidSect="005E5EE1">
      <w:headerReference w:type="first" r:id="rId12"/>
      <w:footerReference w:type="first" r:id="rId13"/>
      <w:footnotePr>
        <w:numRestart w:val="eachPage"/>
      </w:footnotePr>
      <w:pgSz w:w="11906" w:h="16838" w:code="9"/>
      <w:pgMar w:top="1138" w:right="1138" w:bottom="1138" w:left="113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198C" w14:textId="77777777" w:rsidR="00E749EC" w:rsidRDefault="00E749EC">
      <w:pPr>
        <w:spacing w:after="0"/>
      </w:pPr>
      <w:r>
        <w:separator/>
      </w:r>
    </w:p>
  </w:endnote>
  <w:endnote w:type="continuationSeparator" w:id="0">
    <w:p w14:paraId="2AE1F8D5" w14:textId="77777777" w:rsidR="00E749EC" w:rsidRDefault="00E7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2FAB" w14:textId="77777777" w:rsidR="005E5EE1" w:rsidRPr="005E5EE1" w:rsidRDefault="005E5EE1" w:rsidP="005E5EE1">
    <w:pPr>
      <w:pStyle w:val="Footer"/>
      <w:spacing w:before="0"/>
      <w:jc w:val="right"/>
      <w:rPr>
        <w:sz w:val="20"/>
        <w:szCs w:val="20"/>
      </w:rPr>
    </w:pPr>
    <w:r w:rsidRPr="005E5EE1">
      <w:rPr>
        <w:sz w:val="20"/>
        <w:szCs w:val="20"/>
      </w:rPr>
      <w:t>Finance Division</w:t>
    </w:r>
  </w:p>
  <w:p w14:paraId="2AEE78BB" w14:textId="77777777" w:rsidR="005E5EE1" w:rsidRPr="005E5EE1" w:rsidRDefault="005E5EE1" w:rsidP="005E5EE1">
    <w:pPr>
      <w:pStyle w:val="Footer"/>
      <w:spacing w:before="0"/>
      <w:jc w:val="right"/>
      <w:rPr>
        <w:sz w:val="20"/>
        <w:szCs w:val="20"/>
      </w:rPr>
    </w:pPr>
    <w:r w:rsidRPr="005E5EE1">
      <w:rPr>
        <w:sz w:val="20"/>
        <w:szCs w:val="20"/>
      </w:rPr>
      <w:t xml:space="preserve">www.admin.ox.ac.uk/finance/accounting/planning_reporting/yearend/ </w:t>
    </w:r>
  </w:p>
  <w:p w14:paraId="199A6DF6" w14:textId="77777777" w:rsidR="005E5EE1" w:rsidRPr="005E5EE1" w:rsidRDefault="005E5EE1" w:rsidP="005E5EE1">
    <w:pPr>
      <w:pStyle w:val="Footer"/>
      <w:spacing w:before="0"/>
      <w:jc w:val="right"/>
      <w:rPr>
        <w:sz w:val="20"/>
        <w:szCs w:val="20"/>
      </w:rPr>
    </w:pPr>
    <w:r w:rsidRPr="005E5EE1">
      <w:rPr>
        <w:sz w:val="20"/>
        <w:szCs w:val="20"/>
      </w:rPr>
      <w:t xml:space="preserve">Version 1.0 – </w:t>
    </w:r>
    <w:r w:rsidR="00D83E28">
      <w:rPr>
        <w:sz w:val="20"/>
        <w:szCs w:val="20"/>
      </w:rPr>
      <w:t>June</w:t>
    </w:r>
    <w:r w:rsidRPr="005E5EE1">
      <w:rPr>
        <w:sz w:val="20"/>
        <w:szCs w:val="20"/>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D8BC" w14:textId="77777777" w:rsidR="00E749EC" w:rsidRDefault="00E749EC">
      <w:pPr>
        <w:pStyle w:val="Footer"/>
      </w:pPr>
    </w:p>
  </w:footnote>
  <w:footnote w:type="continuationSeparator" w:id="0">
    <w:p w14:paraId="3B7DED51" w14:textId="77777777" w:rsidR="00E749EC" w:rsidRDefault="00E749EC">
      <w:pPr>
        <w:pStyle w:val="Footer"/>
      </w:pPr>
    </w:p>
  </w:footnote>
  <w:footnote w:type="continuationNotice" w:id="1">
    <w:p w14:paraId="2B430CD9" w14:textId="77777777" w:rsidR="00E749EC" w:rsidRDefault="00E749E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FC60" w14:textId="77777777" w:rsidR="005E5EE1" w:rsidRDefault="005E5EE1" w:rsidP="005E5EE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5EC3"/>
    <w:multiLevelType w:val="multilevel"/>
    <w:tmpl w:val="C8DC3C9E"/>
    <w:lvl w:ilvl="0">
      <w:start w:val="1"/>
      <w:numFmt w:val="bullet"/>
      <w:pStyle w:val="ListBullet"/>
      <w:lvlText w:val=""/>
      <w:lvlJc w:val="left"/>
      <w:pPr>
        <w:tabs>
          <w:tab w:val="num" w:pos="271"/>
        </w:tabs>
        <w:ind w:left="271" w:hanging="567"/>
      </w:pPr>
      <w:rPr>
        <w:rFonts w:ascii="Symbol" w:hAnsi="Symbol" w:hint="default"/>
        <w:b w:val="0"/>
        <w:i w:val="0"/>
        <w:color w:val="auto"/>
        <w:kern w:val="0"/>
        <w:sz w:val="22"/>
      </w:rPr>
    </w:lvl>
    <w:lvl w:ilvl="1">
      <w:start w:val="1"/>
      <w:numFmt w:val="bullet"/>
      <w:pStyle w:val="ListContinue"/>
      <w:lvlText w:val=""/>
      <w:lvlJc w:val="left"/>
      <w:pPr>
        <w:ind w:left="271" w:firstLine="0"/>
      </w:pPr>
      <w:rPr>
        <w:rFonts w:ascii="Symbol" w:hAnsi="Symbol" w:hint="default"/>
        <w:color w:val="auto"/>
      </w:rPr>
    </w:lvl>
    <w:lvl w:ilvl="2">
      <w:start w:val="1"/>
      <w:numFmt w:val="bullet"/>
      <w:pStyle w:val="ListBullet2"/>
      <w:lvlText w:val=""/>
      <w:lvlJc w:val="left"/>
      <w:pPr>
        <w:tabs>
          <w:tab w:val="num" w:pos="838"/>
        </w:tabs>
        <w:ind w:left="838" w:hanging="567"/>
      </w:pPr>
      <w:rPr>
        <w:rFonts w:ascii="Symbol" w:hAnsi="Symbol" w:hint="default"/>
        <w:color w:val="auto"/>
      </w:rPr>
    </w:lvl>
    <w:lvl w:ilvl="3">
      <w:start w:val="1"/>
      <w:numFmt w:val="none"/>
      <w:pStyle w:val="ListContinue2"/>
      <w:suff w:val="nothing"/>
      <w:lvlText w:val=""/>
      <w:lvlJc w:val="left"/>
      <w:pPr>
        <w:ind w:left="838" w:firstLine="0"/>
      </w:pPr>
      <w:rPr>
        <w:color w:val="auto"/>
      </w:rPr>
    </w:lvl>
    <w:lvl w:ilvl="4">
      <w:start w:val="1"/>
      <w:numFmt w:val="none"/>
      <w:suff w:val="nothing"/>
      <w:lvlText w:val=""/>
      <w:lvlJc w:val="left"/>
      <w:pPr>
        <w:ind w:left="-296" w:firstLine="0"/>
      </w:pPr>
      <w:rPr>
        <w:color w:val="auto"/>
      </w:rPr>
    </w:lvl>
    <w:lvl w:ilvl="5">
      <w:start w:val="1"/>
      <w:numFmt w:val="none"/>
      <w:suff w:val="nothing"/>
      <w:lvlText w:val=""/>
      <w:lvlJc w:val="left"/>
      <w:pPr>
        <w:ind w:left="-296" w:firstLine="0"/>
      </w:pPr>
      <w:rPr>
        <w:color w:val="auto"/>
      </w:rPr>
    </w:lvl>
    <w:lvl w:ilvl="6">
      <w:start w:val="1"/>
      <w:numFmt w:val="none"/>
      <w:suff w:val="nothing"/>
      <w:lvlText w:val=""/>
      <w:lvlJc w:val="left"/>
      <w:pPr>
        <w:ind w:left="-296" w:firstLine="0"/>
      </w:pPr>
      <w:rPr>
        <w:color w:val="auto"/>
      </w:rPr>
    </w:lvl>
    <w:lvl w:ilvl="7">
      <w:start w:val="1"/>
      <w:numFmt w:val="none"/>
      <w:suff w:val="nothing"/>
      <w:lvlText w:val=""/>
      <w:lvlJc w:val="left"/>
      <w:pPr>
        <w:ind w:left="-296" w:firstLine="0"/>
      </w:pPr>
      <w:rPr>
        <w:color w:val="auto"/>
      </w:rPr>
    </w:lvl>
    <w:lvl w:ilvl="8">
      <w:start w:val="1"/>
      <w:numFmt w:val="none"/>
      <w:suff w:val="nothing"/>
      <w:lvlText w:val=""/>
      <w:lvlJc w:val="left"/>
      <w:pPr>
        <w:ind w:left="-296" w:firstLine="0"/>
      </w:pPr>
      <w:rPr>
        <w:color w:val="auto"/>
      </w:rPr>
    </w:lvl>
  </w:abstractNum>
  <w:abstractNum w:abstractNumId="1" w15:restartNumberingAfterBreak="0">
    <w:nsid w:val="11272684"/>
    <w:multiLevelType w:val="hybridMultilevel"/>
    <w:tmpl w:val="92BA8644"/>
    <w:lvl w:ilvl="0" w:tplc="0409001B">
      <w:start w:val="1"/>
      <w:numFmt w:val="lowerRoman"/>
      <w:lvlText w:val="%1."/>
      <w:lvlJc w:val="right"/>
      <w:pPr>
        <w:ind w:left="1281" w:hanging="720"/>
      </w:pPr>
    </w:lvl>
    <w:lvl w:ilvl="1" w:tplc="08090019">
      <w:start w:val="1"/>
      <w:numFmt w:val="decimal"/>
      <w:lvlText w:val="%2."/>
      <w:lvlJc w:val="left"/>
      <w:pPr>
        <w:tabs>
          <w:tab w:val="num" w:pos="1641"/>
        </w:tabs>
        <w:ind w:left="1641" w:hanging="360"/>
      </w:pPr>
    </w:lvl>
    <w:lvl w:ilvl="2" w:tplc="0809001B">
      <w:start w:val="1"/>
      <w:numFmt w:val="decimal"/>
      <w:lvlText w:val="%3."/>
      <w:lvlJc w:val="left"/>
      <w:pPr>
        <w:tabs>
          <w:tab w:val="num" w:pos="2361"/>
        </w:tabs>
        <w:ind w:left="2361" w:hanging="360"/>
      </w:pPr>
    </w:lvl>
    <w:lvl w:ilvl="3" w:tplc="0809000F">
      <w:start w:val="1"/>
      <w:numFmt w:val="decimal"/>
      <w:lvlText w:val="%4."/>
      <w:lvlJc w:val="left"/>
      <w:pPr>
        <w:tabs>
          <w:tab w:val="num" w:pos="3081"/>
        </w:tabs>
        <w:ind w:left="3081" w:hanging="360"/>
      </w:pPr>
    </w:lvl>
    <w:lvl w:ilvl="4" w:tplc="08090019">
      <w:start w:val="1"/>
      <w:numFmt w:val="decimal"/>
      <w:lvlText w:val="%5."/>
      <w:lvlJc w:val="left"/>
      <w:pPr>
        <w:tabs>
          <w:tab w:val="num" w:pos="3801"/>
        </w:tabs>
        <w:ind w:left="3801" w:hanging="360"/>
      </w:pPr>
    </w:lvl>
    <w:lvl w:ilvl="5" w:tplc="0809001B">
      <w:start w:val="1"/>
      <w:numFmt w:val="decimal"/>
      <w:lvlText w:val="%6."/>
      <w:lvlJc w:val="left"/>
      <w:pPr>
        <w:tabs>
          <w:tab w:val="num" w:pos="4521"/>
        </w:tabs>
        <w:ind w:left="4521" w:hanging="360"/>
      </w:pPr>
    </w:lvl>
    <w:lvl w:ilvl="6" w:tplc="0809000F">
      <w:start w:val="1"/>
      <w:numFmt w:val="decimal"/>
      <w:lvlText w:val="%7."/>
      <w:lvlJc w:val="left"/>
      <w:pPr>
        <w:tabs>
          <w:tab w:val="num" w:pos="5241"/>
        </w:tabs>
        <w:ind w:left="5241" w:hanging="360"/>
      </w:pPr>
    </w:lvl>
    <w:lvl w:ilvl="7" w:tplc="08090019">
      <w:start w:val="1"/>
      <w:numFmt w:val="decimal"/>
      <w:lvlText w:val="%8."/>
      <w:lvlJc w:val="left"/>
      <w:pPr>
        <w:tabs>
          <w:tab w:val="num" w:pos="5961"/>
        </w:tabs>
        <w:ind w:left="5961" w:hanging="360"/>
      </w:pPr>
    </w:lvl>
    <w:lvl w:ilvl="8" w:tplc="0809001B">
      <w:start w:val="1"/>
      <w:numFmt w:val="decimal"/>
      <w:lvlText w:val="%9."/>
      <w:lvlJc w:val="left"/>
      <w:pPr>
        <w:tabs>
          <w:tab w:val="num" w:pos="6681"/>
        </w:tabs>
        <w:ind w:left="6681" w:hanging="360"/>
      </w:pPr>
    </w:lvl>
  </w:abstractNum>
  <w:abstractNum w:abstractNumId="2" w15:restartNumberingAfterBreak="0">
    <w:nsid w:val="161962FF"/>
    <w:multiLevelType w:val="multilevel"/>
    <w:tmpl w:val="2306F10E"/>
    <w:styleLink w:val="Style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E64D51"/>
    <w:multiLevelType w:val="multilevel"/>
    <w:tmpl w:val="CCD0CB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B807A57"/>
    <w:multiLevelType w:val="hybridMultilevel"/>
    <w:tmpl w:val="60F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9672B"/>
    <w:multiLevelType w:val="hybridMultilevel"/>
    <w:tmpl w:val="2E666CA6"/>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44610EE3"/>
    <w:multiLevelType w:val="hybridMultilevel"/>
    <w:tmpl w:val="9D068E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96B32"/>
    <w:multiLevelType w:val="hybridMultilevel"/>
    <w:tmpl w:val="42B2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56104"/>
    <w:multiLevelType w:val="hybridMultilevel"/>
    <w:tmpl w:val="3FC8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67775"/>
    <w:multiLevelType w:val="hybridMultilevel"/>
    <w:tmpl w:val="05306354"/>
    <w:lvl w:ilvl="0" w:tplc="08090001">
      <w:start w:val="1"/>
      <w:numFmt w:val="bullet"/>
      <w:lvlText w:val=""/>
      <w:lvlJc w:val="left"/>
      <w:pPr>
        <w:ind w:left="424" w:hanging="360"/>
      </w:pPr>
      <w:rPr>
        <w:rFonts w:ascii="Symbol" w:hAnsi="Symbol" w:hint="default"/>
      </w:rPr>
    </w:lvl>
    <w:lvl w:ilvl="1" w:tplc="08090003" w:tentative="1">
      <w:start w:val="1"/>
      <w:numFmt w:val="bullet"/>
      <w:lvlText w:val="o"/>
      <w:lvlJc w:val="left"/>
      <w:pPr>
        <w:ind w:left="1144" w:hanging="360"/>
      </w:pPr>
      <w:rPr>
        <w:rFonts w:ascii="Courier New" w:hAnsi="Courier New" w:cs="Courier New" w:hint="default"/>
      </w:rPr>
    </w:lvl>
    <w:lvl w:ilvl="2" w:tplc="08090005" w:tentative="1">
      <w:start w:val="1"/>
      <w:numFmt w:val="bullet"/>
      <w:lvlText w:val=""/>
      <w:lvlJc w:val="left"/>
      <w:pPr>
        <w:ind w:left="1864" w:hanging="360"/>
      </w:pPr>
      <w:rPr>
        <w:rFonts w:ascii="Wingdings" w:hAnsi="Wingdings" w:hint="default"/>
      </w:rPr>
    </w:lvl>
    <w:lvl w:ilvl="3" w:tplc="08090001" w:tentative="1">
      <w:start w:val="1"/>
      <w:numFmt w:val="bullet"/>
      <w:lvlText w:val=""/>
      <w:lvlJc w:val="left"/>
      <w:pPr>
        <w:ind w:left="2584" w:hanging="360"/>
      </w:pPr>
      <w:rPr>
        <w:rFonts w:ascii="Symbol" w:hAnsi="Symbol" w:hint="default"/>
      </w:rPr>
    </w:lvl>
    <w:lvl w:ilvl="4" w:tplc="08090003" w:tentative="1">
      <w:start w:val="1"/>
      <w:numFmt w:val="bullet"/>
      <w:lvlText w:val="o"/>
      <w:lvlJc w:val="left"/>
      <w:pPr>
        <w:ind w:left="3304" w:hanging="360"/>
      </w:pPr>
      <w:rPr>
        <w:rFonts w:ascii="Courier New" w:hAnsi="Courier New" w:cs="Courier New" w:hint="default"/>
      </w:rPr>
    </w:lvl>
    <w:lvl w:ilvl="5" w:tplc="08090005" w:tentative="1">
      <w:start w:val="1"/>
      <w:numFmt w:val="bullet"/>
      <w:lvlText w:val=""/>
      <w:lvlJc w:val="left"/>
      <w:pPr>
        <w:ind w:left="4024" w:hanging="360"/>
      </w:pPr>
      <w:rPr>
        <w:rFonts w:ascii="Wingdings" w:hAnsi="Wingdings" w:hint="default"/>
      </w:rPr>
    </w:lvl>
    <w:lvl w:ilvl="6" w:tplc="08090001" w:tentative="1">
      <w:start w:val="1"/>
      <w:numFmt w:val="bullet"/>
      <w:lvlText w:val=""/>
      <w:lvlJc w:val="left"/>
      <w:pPr>
        <w:ind w:left="4744" w:hanging="360"/>
      </w:pPr>
      <w:rPr>
        <w:rFonts w:ascii="Symbol" w:hAnsi="Symbol" w:hint="default"/>
      </w:rPr>
    </w:lvl>
    <w:lvl w:ilvl="7" w:tplc="08090003" w:tentative="1">
      <w:start w:val="1"/>
      <w:numFmt w:val="bullet"/>
      <w:lvlText w:val="o"/>
      <w:lvlJc w:val="left"/>
      <w:pPr>
        <w:ind w:left="5464" w:hanging="360"/>
      </w:pPr>
      <w:rPr>
        <w:rFonts w:ascii="Courier New" w:hAnsi="Courier New" w:cs="Courier New" w:hint="default"/>
      </w:rPr>
    </w:lvl>
    <w:lvl w:ilvl="8" w:tplc="08090005" w:tentative="1">
      <w:start w:val="1"/>
      <w:numFmt w:val="bullet"/>
      <w:lvlText w:val=""/>
      <w:lvlJc w:val="left"/>
      <w:pPr>
        <w:ind w:left="6184" w:hanging="360"/>
      </w:pPr>
      <w:rPr>
        <w:rFonts w:ascii="Wingdings" w:hAnsi="Wingdings" w:hint="default"/>
      </w:rPr>
    </w:lvl>
  </w:abstractNum>
  <w:abstractNum w:abstractNumId="10" w15:restartNumberingAfterBreak="0">
    <w:nsid w:val="76F9068E"/>
    <w:multiLevelType w:val="hybridMultilevel"/>
    <w:tmpl w:val="2E086984"/>
    <w:lvl w:ilvl="0" w:tplc="08090001">
      <w:start w:val="1"/>
      <w:numFmt w:val="bullet"/>
      <w:lvlText w:val=""/>
      <w:lvlJc w:val="left"/>
      <w:pPr>
        <w:ind w:left="424" w:hanging="360"/>
      </w:pPr>
      <w:rPr>
        <w:rFonts w:ascii="Symbol" w:hAnsi="Symbol" w:hint="default"/>
      </w:rPr>
    </w:lvl>
    <w:lvl w:ilvl="1" w:tplc="08090003" w:tentative="1">
      <w:start w:val="1"/>
      <w:numFmt w:val="bullet"/>
      <w:lvlText w:val="o"/>
      <w:lvlJc w:val="left"/>
      <w:pPr>
        <w:ind w:left="1144" w:hanging="360"/>
      </w:pPr>
      <w:rPr>
        <w:rFonts w:ascii="Courier New" w:hAnsi="Courier New" w:cs="Courier New" w:hint="default"/>
      </w:rPr>
    </w:lvl>
    <w:lvl w:ilvl="2" w:tplc="08090005" w:tentative="1">
      <w:start w:val="1"/>
      <w:numFmt w:val="bullet"/>
      <w:lvlText w:val=""/>
      <w:lvlJc w:val="left"/>
      <w:pPr>
        <w:ind w:left="1864" w:hanging="360"/>
      </w:pPr>
      <w:rPr>
        <w:rFonts w:ascii="Wingdings" w:hAnsi="Wingdings" w:hint="default"/>
      </w:rPr>
    </w:lvl>
    <w:lvl w:ilvl="3" w:tplc="08090001" w:tentative="1">
      <w:start w:val="1"/>
      <w:numFmt w:val="bullet"/>
      <w:lvlText w:val=""/>
      <w:lvlJc w:val="left"/>
      <w:pPr>
        <w:ind w:left="2584" w:hanging="360"/>
      </w:pPr>
      <w:rPr>
        <w:rFonts w:ascii="Symbol" w:hAnsi="Symbol" w:hint="default"/>
      </w:rPr>
    </w:lvl>
    <w:lvl w:ilvl="4" w:tplc="08090003" w:tentative="1">
      <w:start w:val="1"/>
      <w:numFmt w:val="bullet"/>
      <w:lvlText w:val="o"/>
      <w:lvlJc w:val="left"/>
      <w:pPr>
        <w:ind w:left="3304" w:hanging="360"/>
      </w:pPr>
      <w:rPr>
        <w:rFonts w:ascii="Courier New" w:hAnsi="Courier New" w:cs="Courier New" w:hint="default"/>
      </w:rPr>
    </w:lvl>
    <w:lvl w:ilvl="5" w:tplc="08090005" w:tentative="1">
      <w:start w:val="1"/>
      <w:numFmt w:val="bullet"/>
      <w:lvlText w:val=""/>
      <w:lvlJc w:val="left"/>
      <w:pPr>
        <w:ind w:left="4024" w:hanging="360"/>
      </w:pPr>
      <w:rPr>
        <w:rFonts w:ascii="Wingdings" w:hAnsi="Wingdings" w:hint="default"/>
      </w:rPr>
    </w:lvl>
    <w:lvl w:ilvl="6" w:tplc="08090001" w:tentative="1">
      <w:start w:val="1"/>
      <w:numFmt w:val="bullet"/>
      <w:lvlText w:val=""/>
      <w:lvlJc w:val="left"/>
      <w:pPr>
        <w:ind w:left="4744" w:hanging="360"/>
      </w:pPr>
      <w:rPr>
        <w:rFonts w:ascii="Symbol" w:hAnsi="Symbol" w:hint="default"/>
      </w:rPr>
    </w:lvl>
    <w:lvl w:ilvl="7" w:tplc="08090003" w:tentative="1">
      <w:start w:val="1"/>
      <w:numFmt w:val="bullet"/>
      <w:lvlText w:val="o"/>
      <w:lvlJc w:val="left"/>
      <w:pPr>
        <w:ind w:left="5464" w:hanging="360"/>
      </w:pPr>
      <w:rPr>
        <w:rFonts w:ascii="Courier New" w:hAnsi="Courier New" w:cs="Courier New" w:hint="default"/>
      </w:rPr>
    </w:lvl>
    <w:lvl w:ilvl="8" w:tplc="08090005" w:tentative="1">
      <w:start w:val="1"/>
      <w:numFmt w:val="bullet"/>
      <w:lvlText w:val=""/>
      <w:lvlJc w:val="left"/>
      <w:pPr>
        <w:ind w:left="6184" w:hanging="360"/>
      </w:pPr>
      <w:rPr>
        <w:rFonts w:ascii="Wingdings" w:hAnsi="Wingdings" w:hint="default"/>
      </w:rPr>
    </w:lvl>
  </w:abstractNum>
  <w:abstractNum w:abstractNumId="11" w15:restartNumberingAfterBreak="0">
    <w:nsid w:val="7AA72E00"/>
    <w:multiLevelType w:val="hybridMultilevel"/>
    <w:tmpl w:val="0268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E3F5D"/>
    <w:multiLevelType w:val="hybridMultilevel"/>
    <w:tmpl w:val="099A9920"/>
    <w:lvl w:ilvl="0" w:tplc="D6760588">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8986800C" w:tentative="1">
      <w:start w:val="1"/>
      <w:numFmt w:val="bullet"/>
      <w:lvlText w:val="o"/>
      <w:lvlJc w:val="left"/>
      <w:pPr>
        <w:tabs>
          <w:tab w:val="num" w:pos="1440"/>
        </w:tabs>
        <w:ind w:left="1440" w:hanging="360"/>
      </w:pPr>
      <w:rPr>
        <w:rFonts w:ascii="Courier New" w:hAnsi="Courier New" w:hint="default"/>
      </w:rPr>
    </w:lvl>
    <w:lvl w:ilvl="2" w:tplc="E4BCC194" w:tentative="1">
      <w:start w:val="1"/>
      <w:numFmt w:val="bullet"/>
      <w:lvlText w:val=""/>
      <w:lvlJc w:val="left"/>
      <w:pPr>
        <w:tabs>
          <w:tab w:val="num" w:pos="2160"/>
        </w:tabs>
        <w:ind w:left="2160" w:hanging="360"/>
      </w:pPr>
      <w:rPr>
        <w:rFonts w:ascii="Wingdings" w:hAnsi="Wingdings" w:hint="default"/>
      </w:rPr>
    </w:lvl>
    <w:lvl w:ilvl="3" w:tplc="BF24662E" w:tentative="1">
      <w:start w:val="1"/>
      <w:numFmt w:val="bullet"/>
      <w:lvlText w:val=""/>
      <w:lvlJc w:val="left"/>
      <w:pPr>
        <w:tabs>
          <w:tab w:val="num" w:pos="2880"/>
        </w:tabs>
        <w:ind w:left="2880" w:hanging="360"/>
      </w:pPr>
      <w:rPr>
        <w:rFonts w:ascii="Symbol" w:hAnsi="Symbol" w:hint="default"/>
      </w:rPr>
    </w:lvl>
    <w:lvl w:ilvl="4" w:tplc="57F6F974" w:tentative="1">
      <w:start w:val="1"/>
      <w:numFmt w:val="bullet"/>
      <w:lvlText w:val="o"/>
      <w:lvlJc w:val="left"/>
      <w:pPr>
        <w:tabs>
          <w:tab w:val="num" w:pos="3600"/>
        </w:tabs>
        <w:ind w:left="3600" w:hanging="360"/>
      </w:pPr>
      <w:rPr>
        <w:rFonts w:ascii="Courier New" w:hAnsi="Courier New" w:hint="default"/>
      </w:rPr>
    </w:lvl>
    <w:lvl w:ilvl="5" w:tplc="83B43742" w:tentative="1">
      <w:start w:val="1"/>
      <w:numFmt w:val="bullet"/>
      <w:lvlText w:val=""/>
      <w:lvlJc w:val="left"/>
      <w:pPr>
        <w:tabs>
          <w:tab w:val="num" w:pos="4320"/>
        </w:tabs>
        <w:ind w:left="4320" w:hanging="360"/>
      </w:pPr>
      <w:rPr>
        <w:rFonts w:ascii="Wingdings" w:hAnsi="Wingdings" w:hint="default"/>
      </w:rPr>
    </w:lvl>
    <w:lvl w:ilvl="6" w:tplc="3FFE6CF6" w:tentative="1">
      <w:start w:val="1"/>
      <w:numFmt w:val="bullet"/>
      <w:lvlText w:val=""/>
      <w:lvlJc w:val="left"/>
      <w:pPr>
        <w:tabs>
          <w:tab w:val="num" w:pos="5040"/>
        </w:tabs>
        <w:ind w:left="5040" w:hanging="360"/>
      </w:pPr>
      <w:rPr>
        <w:rFonts w:ascii="Symbol" w:hAnsi="Symbol" w:hint="default"/>
      </w:rPr>
    </w:lvl>
    <w:lvl w:ilvl="7" w:tplc="A1F250EC" w:tentative="1">
      <w:start w:val="1"/>
      <w:numFmt w:val="bullet"/>
      <w:lvlText w:val="o"/>
      <w:lvlJc w:val="left"/>
      <w:pPr>
        <w:tabs>
          <w:tab w:val="num" w:pos="5760"/>
        </w:tabs>
        <w:ind w:left="5760" w:hanging="360"/>
      </w:pPr>
      <w:rPr>
        <w:rFonts w:ascii="Courier New" w:hAnsi="Courier New" w:hint="default"/>
      </w:rPr>
    </w:lvl>
    <w:lvl w:ilvl="8" w:tplc="E78EBBF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num>
  <w:num w:numId="4">
    <w:abstractNumId w:val="2"/>
  </w:num>
  <w:num w:numId="5">
    <w:abstractNumId w:val="5"/>
  </w:num>
  <w:num w:numId="6">
    <w:abstractNumId w:val="8"/>
  </w:num>
  <w:num w:numId="7">
    <w:abstractNumId w:val="6"/>
  </w:num>
  <w:num w:numId="8">
    <w:abstractNumId w:val="1"/>
  </w:num>
  <w:num w:numId="9">
    <w:abstractNumId w:val="4"/>
  </w:num>
  <w:num w:numId="10">
    <w:abstractNumId w:val="11"/>
  </w:num>
  <w:num w:numId="11">
    <w:abstractNumId w:val="7"/>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1"/>
  <w:drawingGridHorizontalSpacing w:val="110"/>
  <w:displayHorizontalDrawingGridEvery w:val="2"/>
  <w:displayVerticalDrawingGridEvery w:val="2"/>
  <w:noPunctuationKerning/>
  <w:characterSpacingControl w:val="doNotCompress"/>
  <w:hdrShapeDefaults>
    <o:shapedefaults v:ext="edit" spidmax="29697">
      <o:colormru v:ext="edit" colors="#006"/>
    </o:shapedefaults>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8"/>
    <w:rsid w:val="0000529F"/>
    <w:rsid w:val="00010FE1"/>
    <w:rsid w:val="00013226"/>
    <w:rsid w:val="00016721"/>
    <w:rsid w:val="00022D4A"/>
    <w:rsid w:val="000264A6"/>
    <w:rsid w:val="000268BF"/>
    <w:rsid w:val="000338BC"/>
    <w:rsid w:val="00034C81"/>
    <w:rsid w:val="000353ED"/>
    <w:rsid w:val="00042710"/>
    <w:rsid w:val="00043582"/>
    <w:rsid w:val="00050157"/>
    <w:rsid w:val="00052ECA"/>
    <w:rsid w:val="000616DC"/>
    <w:rsid w:val="00062D72"/>
    <w:rsid w:val="0007502E"/>
    <w:rsid w:val="00075664"/>
    <w:rsid w:val="00076DC4"/>
    <w:rsid w:val="00077472"/>
    <w:rsid w:val="00080F51"/>
    <w:rsid w:val="00087671"/>
    <w:rsid w:val="000A3A58"/>
    <w:rsid w:val="000B00BE"/>
    <w:rsid w:val="000B0107"/>
    <w:rsid w:val="000B3847"/>
    <w:rsid w:val="000B3DEB"/>
    <w:rsid w:val="000B3FDA"/>
    <w:rsid w:val="000B4DC2"/>
    <w:rsid w:val="000C1A39"/>
    <w:rsid w:val="000C3E69"/>
    <w:rsid w:val="000C7186"/>
    <w:rsid w:val="000D08F9"/>
    <w:rsid w:val="000D19FA"/>
    <w:rsid w:val="000D301C"/>
    <w:rsid w:val="000D5AFA"/>
    <w:rsid w:val="000D62C4"/>
    <w:rsid w:val="000E1876"/>
    <w:rsid w:val="000E2EC5"/>
    <w:rsid w:val="000E30D3"/>
    <w:rsid w:val="000E39F0"/>
    <w:rsid w:val="000E3FE0"/>
    <w:rsid w:val="000E4B38"/>
    <w:rsid w:val="000E4F56"/>
    <w:rsid w:val="000F280F"/>
    <w:rsid w:val="000F5991"/>
    <w:rsid w:val="000F7417"/>
    <w:rsid w:val="001015D8"/>
    <w:rsid w:val="00104F63"/>
    <w:rsid w:val="001066F3"/>
    <w:rsid w:val="00106F1A"/>
    <w:rsid w:val="001075CD"/>
    <w:rsid w:val="00111979"/>
    <w:rsid w:val="0011208F"/>
    <w:rsid w:val="0012314E"/>
    <w:rsid w:val="00124ECD"/>
    <w:rsid w:val="001260ED"/>
    <w:rsid w:val="001307AD"/>
    <w:rsid w:val="00135636"/>
    <w:rsid w:val="001361B8"/>
    <w:rsid w:val="0013659F"/>
    <w:rsid w:val="001375AA"/>
    <w:rsid w:val="00143683"/>
    <w:rsid w:val="00143BED"/>
    <w:rsid w:val="00143D4B"/>
    <w:rsid w:val="001445BA"/>
    <w:rsid w:val="001451EA"/>
    <w:rsid w:val="00147A99"/>
    <w:rsid w:val="001546B0"/>
    <w:rsid w:val="00157314"/>
    <w:rsid w:val="001576F4"/>
    <w:rsid w:val="00162B73"/>
    <w:rsid w:val="00163C01"/>
    <w:rsid w:val="0016419C"/>
    <w:rsid w:val="00164814"/>
    <w:rsid w:val="0017407F"/>
    <w:rsid w:val="00176504"/>
    <w:rsid w:val="00177D3C"/>
    <w:rsid w:val="00182A3B"/>
    <w:rsid w:val="0019005C"/>
    <w:rsid w:val="00195F17"/>
    <w:rsid w:val="001A15C6"/>
    <w:rsid w:val="001A5911"/>
    <w:rsid w:val="001B12E8"/>
    <w:rsid w:val="001B1939"/>
    <w:rsid w:val="001B221B"/>
    <w:rsid w:val="001B6B64"/>
    <w:rsid w:val="001B6DA7"/>
    <w:rsid w:val="001B6F25"/>
    <w:rsid w:val="001B778B"/>
    <w:rsid w:val="001C2EEF"/>
    <w:rsid w:val="001C4489"/>
    <w:rsid w:val="001D330C"/>
    <w:rsid w:val="001D4FB1"/>
    <w:rsid w:val="001E0E2C"/>
    <w:rsid w:val="001E3E36"/>
    <w:rsid w:val="001E7842"/>
    <w:rsid w:val="001E7B68"/>
    <w:rsid w:val="001F2A40"/>
    <w:rsid w:val="001F4033"/>
    <w:rsid w:val="00200E38"/>
    <w:rsid w:val="00205593"/>
    <w:rsid w:val="00205A34"/>
    <w:rsid w:val="00215C01"/>
    <w:rsid w:val="00215D52"/>
    <w:rsid w:val="00221466"/>
    <w:rsid w:val="002228BC"/>
    <w:rsid w:val="00222A6C"/>
    <w:rsid w:val="00222D79"/>
    <w:rsid w:val="002366CE"/>
    <w:rsid w:val="002371CD"/>
    <w:rsid w:val="002414BB"/>
    <w:rsid w:val="002421FA"/>
    <w:rsid w:val="00242C57"/>
    <w:rsid w:val="00246CF3"/>
    <w:rsid w:val="00254BA8"/>
    <w:rsid w:val="0026711C"/>
    <w:rsid w:val="0026785B"/>
    <w:rsid w:val="00267B18"/>
    <w:rsid w:val="0027064C"/>
    <w:rsid w:val="00286276"/>
    <w:rsid w:val="002864F2"/>
    <w:rsid w:val="002866CE"/>
    <w:rsid w:val="00291B38"/>
    <w:rsid w:val="002A0CBB"/>
    <w:rsid w:val="002A54E1"/>
    <w:rsid w:val="002A56E9"/>
    <w:rsid w:val="002B2189"/>
    <w:rsid w:val="002C3BE4"/>
    <w:rsid w:val="002C3F31"/>
    <w:rsid w:val="002C4429"/>
    <w:rsid w:val="002C5180"/>
    <w:rsid w:val="002C5D45"/>
    <w:rsid w:val="002C6F2C"/>
    <w:rsid w:val="002D43D0"/>
    <w:rsid w:val="002D60F4"/>
    <w:rsid w:val="002E0B2A"/>
    <w:rsid w:val="002E2B93"/>
    <w:rsid w:val="002F007A"/>
    <w:rsid w:val="002F0626"/>
    <w:rsid w:val="002F7BD2"/>
    <w:rsid w:val="00300D5D"/>
    <w:rsid w:val="003016B0"/>
    <w:rsid w:val="00304D94"/>
    <w:rsid w:val="00304E66"/>
    <w:rsid w:val="003116B7"/>
    <w:rsid w:val="00312C69"/>
    <w:rsid w:val="00314AB3"/>
    <w:rsid w:val="00317A58"/>
    <w:rsid w:val="00317AB7"/>
    <w:rsid w:val="0032177D"/>
    <w:rsid w:val="00327615"/>
    <w:rsid w:val="003279AD"/>
    <w:rsid w:val="0033204C"/>
    <w:rsid w:val="00332E5A"/>
    <w:rsid w:val="00332F15"/>
    <w:rsid w:val="003347C8"/>
    <w:rsid w:val="00335F1F"/>
    <w:rsid w:val="003362E0"/>
    <w:rsid w:val="0034234A"/>
    <w:rsid w:val="003426FB"/>
    <w:rsid w:val="00343E5B"/>
    <w:rsid w:val="003529AF"/>
    <w:rsid w:val="00353E13"/>
    <w:rsid w:val="00356121"/>
    <w:rsid w:val="0035691C"/>
    <w:rsid w:val="003648CA"/>
    <w:rsid w:val="00365200"/>
    <w:rsid w:val="003659D3"/>
    <w:rsid w:val="0037049F"/>
    <w:rsid w:val="00371DAD"/>
    <w:rsid w:val="00373B52"/>
    <w:rsid w:val="0039536B"/>
    <w:rsid w:val="00396B3C"/>
    <w:rsid w:val="00397D5B"/>
    <w:rsid w:val="003A2500"/>
    <w:rsid w:val="003A29F0"/>
    <w:rsid w:val="003B285B"/>
    <w:rsid w:val="003B3C83"/>
    <w:rsid w:val="003B43DF"/>
    <w:rsid w:val="003B5E68"/>
    <w:rsid w:val="003C4554"/>
    <w:rsid w:val="003C5A20"/>
    <w:rsid w:val="003C6432"/>
    <w:rsid w:val="003C6E2B"/>
    <w:rsid w:val="003D1147"/>
    <w:rsid w:val="003D33CA"/>
    <w:rsid w:val="003D4FA8"/>
    <w:rsid w:val="003E46F7"/>
    <w:rsid w:val="003E4FF7"/>
    <w:rsid w:val="003F5B48"/>
    <w:rsid w:val="00406E4B"/>
    <w:rsid w:val="00412A46"/>
    <w:rsid w:val="00420289"/>
    <w:rsid w:val="004260BC"/>
    <w:rsid w:val="00426367"/>
    <w:rsid w:val="0043233A"/>
    <w:rsid w:val="004323BA"/>
    <w:rsid w:val="0043796E"/>
    <w:rsid w:val="004408DB"/>
    <w:rsid w:val="0044566D"/>
    <w:rsid w:val="00446EC5"/>
    <w:rsid w:val="004527EC"/>
    <w:rsid w:val="00453AEB"/>
    <w:rsid w:val="00453F83"/>
    <w:rsid w:val="004561EA"/>
    <w:rsid w:val="00461ECD"/>
    <w:rsid w:val="0046277A"/>
    <w:rsid w:val="004632B9"/>
    <w:rsid w:val="00466415"/>
    <w:rsid w:val="00477284"/>
    <w:rsid w:val="00482EAC"/>
    <w:rsid w:val="004868A2"/>
    <w:rsid w:val="00487955"/>
    <w:rsid w:val="004908DA"/>
    <w:rsid w:val="00495A01"/>
    <w:rsid w:val="00497701"/>
    <w:rsid w:val="004A44CE"/>
    <w:rsid w:val="004A59E5"/>
    <w:rsid w:val="004B3387"/>
    <w:rsid w:val="004B3F49"/>
    <w:rsid w:val="004B5437"/>
    <w:rsid w:val="004C083A"/>
    <w:rsid w:val="004C7B2E"/>
    <w:rsid w:val="004D1201"/>
    <w:rsid w:val="004D3A6D"/>
    <w:rsid w:val="004E221C"/>
    <w:rsid w:val="004E294F"/>
    <w:rsid w:val="004E40D6"/>
    <w:rsid w:val="004F0EB3"/>
    <w:rsid w:val="004F13DA"/>
    <w:rsid w:val="004F4924"/>
    <w:rsid w:val="004F5812"/>
    <w:rsid w:val="004F702F"/>
    <w:rsid w:val="00505DF8"/>
    <w:rsid w:val="00506C70"/>
    <w:rsid w:val="00512167"/>
    <w:rsid w:val="005267DA"/>
    <w:rsid w:val="00530B25"/>
    <w:rsid w:val="0053210D"/>
    <w:rsid w:val="005333EF"/>
    <w:rsid w:val="00540014"/>
    <w:rsid w:val="00540634"/>
    <w:rsid w:val="005439D6"/>
    <w:rsid w:val="00545603"/>
    <w:rsid w:val="00545E17"/>
    <w:rsid w:val="00547857"/>
    <w:rsid w:val="005511AD"/>
    <w:rsid w:val="00557233"/>
    <w:rsid w:val="00565B53"/>
    <w:rsid w:val="00567B2E"/>
    <w:rsid w:val="00567D5F"/>
    <w:rsid w:val="005710E2"/>
    <w:rsid w:val="00571BFC"/>
    <w:rsid w:val="00571F0B"/>
    <w:rsid w:val="00573148"/>
    <w:rsid w:val="00582D00"/>
    <w:rsid w:val="0058527D"/>
    <w:rsid w:val="00585432"/>
    <w:rsid w:val="00593EEE"/>
    <w:rsid w:val="005950EC"/>
    <w:rsid w:val="00596999"/>
    <w:rsid w:val="005A02A6"/>
    <w:rsid w:val="005A172C"/>
    <w:rsid w:val="005A22CE"/>
    <w:rsid w:val="005A453D"/>
    <w:rsid w:val="005B0E02"/>
    <w:rsid w:val="005B483C"/>
    <w:rsid w:val="005B4AAC"/>
    <w:rsid w:val="005B5A78"/>
    <w:rsid w:val="005B6D21"/>
    <w:rsid w:val="005B76EE"/>
    <w:rsid w:val="005C3663"/>
    <w:rsid w:val="005C7C46"/>
    <w:rsid w:val="005D0AC7"/>
    <w:rsid w:val="005D7D30"/>
    <w:rsid w:val="005E223E"/>
    <w:rsid w:val="005E2366"/>
    <w:rsid w:val="005E2E6B"/>
    <w:rsid w:val="005E5EE1"/>
    <w:rsid w:val="005F2E3C"/>
    <w:rsid w:val="005F47F8"/>
    <w:rsid w:val="005F5221"/>
    <w:rsid w:val="005F6F19"/>
    <w:rsid w:val="005F782A"/>
    <w:rsid w:val="00603432"/>
    <w:rsid w:val="006063B5"/>
    <w:rsid w:val="006102B1"/>
    <w:rsid w:val="00616FC6"/>
    <w:rsid w:val="00622055"/>
    <w:rsid w:val="006228FB"/>
    <w:rsid w:val="00622FC5"/>
    <w:rsid w:val="00623E72"/>
    <w:rsid w:val="00624DF8"/>
    <w:rsid w:val="00630811"/>
    <w:rsid w:val="00635D90"/>
    <w:rsid w:val="00637064"/>
    <w:rsid w:val="00637B41"/>
    <w:rsid w:val="00641336"/>
    <w:rsid w:val="00647D79"/>
    <w:rsid w:val="0065157F"/>
    <w:rsid w:val="00651D61"/>
    <w:rsid w:val="006520B0"/>
    <w:rsid w:val="006568A3"/>
    <w:rsid w:val="006616CC"/>
    <w:rsid w:val="00661DE4"/>
    <w:rsid w:val="00663FA7"/>
    <w:rsid w:val="00670329"/>
    <w:rsid w:val="006713EE"/>
    <w:rsid w:val="00673656"/>
    <w:rsid w:val="00680E41"/>
    <w:rsid w:val="00686606"/>
    <w:rsid w:val="006875A4"/>
    <w:rsid w:val="006920BF"/>
    <w:rsid w:val="006A23EF"/>
    <w:rsid w:val="006A2622"/>
    <w:rsid w:val="006A2F4F"/>
    <w:rsid w:val="006A3CFC"/>
    <w:rsid w:val="006B13A2"/>
    <w:rsid w:val="006B1528"/>
    <w:rsid w:val="006B154C"/>
    <w:rsid w:val="006B1E6F"/>
    <w:rsid w:val="006B6309"/>
    <w:rsid w:val="006C3C06"/>
    <w:rsid w:val="006C69EB"/>
    <w:rsid w:val="006C7CC6"/>
    <w:rsid w:val="006D4CD9"/>
    <w:rsid w:val="006F34B5"/>
    <w:rsid w:val="006F77B1"/>
    <w:rsid w:val="007001ED"/>
    <w:rsid w:val="00701409"/>
    <w:rsid w:val="00701905"/>
    <w:rsid w:val="00701E03"/>
    <w:rsid w:val="00702854"/>
    <w:rsid w:val="0070521F"/>
    <w:rsid w:val="0071037C"/>
    <w:rsid w:val="00714A41"/>
    <w:rsid w:val="00716F14"/>
    <w:rsid w:val="007211A8"/>
    <w:rsid w:val="00732CC5"/>
    <w:rsid w:val="00734EAC"/>
    <w:rsid w:val="00740381"/>
    <w:rsid w:val="007406BC"/>
    <w:rsid w:val="00745A0C"/>
    <w:rsid w:val="007518A0"/>
    <w:rsid w:val="007534F1"/>
    <w:rsid w:val="007619AB"/>
    <w:rsid w:val="00761E67"/>
    <w:rsid w:val="00763080"/>
    <w:rsid w:val="00765BC3"/>
    <w:rsid w:val="00770730"/>
    <w:rsid w:val="00772DDD"/>
    <w:rsid w:val="00774F15"/>
    <w:rsid w:val="00776EC3"/>
    <w:rsid w:val="00777A8B"/>
    <w:rsid w:val="00782EE8"/>
    <w:rsid w:val="00791C5B"/>
    <w:rsid w:val="0079424B"/>
    <w:rsid w:val="00795663"/>
    <w:rsid w:val="007A049F"/>
    <w:rsid w:val="007A438A"/>
    <w:rsid w:val="007A45D6"/>
    <w:rsid w:val="007B3191"/>
    <w:rsid w:val="007C400F"/>
    <w:rsid w:val="007C5AC2"/>
    <w:rsid w:val="007D26DE"/>
    <w:rsid w:val="007D341D"/>
    <w:rsid w:val="007D6F74"/>
    <w:rsid w:val="007D70C6"/>
    <w:rsid w:val="007E5156"/>
    <w:rsid w:val="007F0C1E"/>
    <w:rsid w:val="007F7D0B"/>
    <w:rsid w:val="008004CD"/>
    <w:rsid w:val="0080194B"/>
    <w:rsid w:val="00802196"/>
    <w:rsid w:val="008021A5"/>
    <w:rsid w:val="0080329B"/>
    <w:rsid w:val="00807C31"/>
    <w:rsid w:val="00817A14"/>
    <w:rsid w:val="0082081C"/>
    <w:rsid w:val="008224F7"/>
    <w:rsid w:val="0082295A"/>
    <w:rsid w:val="00831103"/>
    <w:rsid w:val="008311AD"/>
    <w:rsid w:val="00831EE4"/>
    <w:rsid w:val="008321BC"/>
    <w:rsid w:val="00833342"/>
    <w:rsid w:val="00834662"/>
    <w:rsid w:val="00836D46"/>
    <w:rsid w:val="00841A6F"/>
    <w:rsid w:val="00843BC6"/>
    <w:rsid w:val="00847984"/>
    <w:rsid w:val="008532DC"/>
    <w:rsid w:val="00854552"/>
    <w:rsid w:val="00860AA3"/>
    <w:rsid w:val="00861F1F"/>
    <w:rsid w:val="008633E9"/>
    <w:rsid w:val="00864EB3"/>
    <w:rsid w:val="0086545B"/>
    <w:rsid w:val="00865720"/>
    <w:rsid w:val="008675F4"/>
    <w:rsid w:val="00871857"/>
    <w:rsid w:val="008737BB"/>
    <w:rsid w:val="0088648F"/>
    <w:rsid w:val="008923E3"/>
    <w:rsid w:val="008968B9"/>
    <w:rsid w:val="008A129E"/>
    <w:rsid w:val="008A1942"/>
    <w:rsid w:val="008A2D7A"/>
    <w:rsid w:val="008A3EF2"/>
    <w:rsid w:val="008A41B2"/>
    <w:rsid w:val="008B1324"/>
    <w:rsid w:val="008B60CF"/>
    <w:rsid w:val="008B646B"/>
    <w:rsid w:val="008C0EBE"/>
    <w:rsid w:val="008C1D3F"/>
    <w:rsid w:val="008C2A64"/>
    <w:rsid w:val="008C4193"/>
    <w:rsid w:val="008C5112"/>
    <w:rsid w:val="008C5460"/>
    <w:rsid w:val="008D13C5"/>
    <w:rsid w:val="008D23BE"/>
    <w:rsid w:val="008D6E1F"/>
    <w:rsid w:val="008E4494"/>
    <w:rsid w:val="008E6A9F"/>
    <w:rsid w:val="008F2CA9"/>
    <w:rsid w:val="00905C21"/>
    <w:rsid w:val="00906201"/>
    <w:rsid w:val="009074FD"/>
    <w:rsid w:val="0091518F"/>
    <w:rsid w:val="00917C00"/>
    <w:rsid w:val="00917DF5"/>
    <w:rsid w:val="00924D4F"/>
    <w:rsid w:val="00927680"/>
    <w:rsid w:val="009348B6"/>
    <w:rsid w:val="009501F6"/>
    <w:rsid w:val="00953607"/>
    <w:rsid w:val="0095538D"/>
    <w:rsid w:val="00964D34"/>
    <w:rsid w:val="00970A21"/>
    <w:rsid w:val="0097253A"/>
    <w:rsid w:val="00975E3D"/>
    <w:rsid w:val="0098077B"/>
    <w:rsid w:val="009809F7"/>
    <w:rsid w:val="00983834"/>
    <w:rsid w:val="00984E79"/>
    <w:rsid w:val="00985DA8"/>
    <w:rsid w:val="00987640"/>
    <w:rsid w:val="009906DB"/>
    <w:rsid w:val="009928BA"/>
    <w:rsid w:val="00993A10"/>
    <w:rsid w:val="00994411"/>
    <w:rsid w:val="009960FF"/>
    <w:rsid w:val="00997450"/>
    <w:rsid w:val="009A2443"/>
    <w:rsid w:val="009B1189"/>
    <w:rsid w:val="009B4ED7"/>
    <w:rsid w:val="009B76CA"/>
    <w:rsid w:val="009C1FEA"/>
    <w:rsid w:val="009C58EA"/>
    <w:rsid w:val="009C736C"/>
    <w:rsid w:val="009D31C1"/>
    <w:rsid w:val="009D3E8C"/>
    <w:rsid w:val="009D75E3"/>
    <w:rsid w:val="009E345F"/>
    <w:rsid w:val="009E4418"/>
    <w:rsid w:val="009E7BD4"/>
    <w:rsid w:val="009F0F07"/>
    <w:rsid w:val="009F11A2"/>
    <w:rsid w:val="009F176C"/>
    <w:rsid w:val="009F1773"/>
    <w:rsid w:val="009F68AE"/>
    <w:rsid w:val="009F7010"/>
    <w:rsid w:val="00A00A63"/>
    <w:rsid w:val="00A00F22"/>
    <w:rsid w:val="00A013C9"/>
    <w:rsid w:val="00A02E18"/>
    <w:rsid w:val="00A0453D"/>
    <w:rsid w:val="00A04F3D"/>
    <w:rsid w:val="00A0677A"/>
    <w:rsid w:val="00A12132"/>
    <w:rsid w:val="00A13290"/>
    <w:rsid w:val="00A13947"/>
    <w:rsid w:val="00A14AB8"/>
    <w:rsid w:val="00A376B5"/>
    <w:rsid w:val="00A37700"/>
    <w:rsid w:val="00A40AF2"/>
    <w:rsid w:val="00A44435"/>
    <w:rsid w:val="00A50C44"/>
    <w:rsid w:val="00A53063"/>
    <w:rsid w:val="00A54F6F"/>
    <w:rsid w:val="00A57CE5"/>
    <w:rsid w:val="00A61A93"/>
    <w:rsid w:val="00A63AC5"/>
    <w:rsid w:val="00A66192"/>
    <w:rsid w:val="00A66CE1"/>
    <w:rsid w:val="00A6739B"/>
    <w:rsid w:val="00A67543"/>
    <w:rsid w:val="00A7346D"/>
    <w:rsid w:val="00A819C7"/>
    <w:rsid w:val="00A827A6"/>
    <w:rsid w:val="00A840B2"/>
    <w:rsid w:val="00A868A9"/>
    <w:rsid w:val="00A87FF4"/>
    <w:rsid w:val="00AB68E9"/>
    <w:rsid w:val="00AC24B4"/>
    <w:rsid w:val="00AC3EF3"/>
    <w:rsid w:val="00AC69D6"/>
    <w:rsid w:val="00AD510D"/>
    <w:rsid w:val="00AD698B"/>
    <w:rsid w:val="00AD7F30"/>
    <w:rsid w:val="00AE16F8"/>
    <w:rsid w:val="00AE1FFD"/>
    <w:rsid w:val="00AE5162"/>
    <w:rsid w:val="00AF0FD7"/>
    <w:rsid w:val="00AF5963"/>
    <w:rsid w:val="00AF5E21"/>
    <w:rsid w:val="00AF64EC"/>
    <w:rsid w:val="00B0044D"/>
    <w:rsid w:val="00B06784"/>
    <w:rsid w:val="00B104D1"/>
    <w:rsid w:val="00B10FFB"/>
    <w:rsid w:val="00B11E66"/>
    <w:rsid w:val="00B15BAD"/>
    <w:rsid w:val="00B168B8"/>
    <w:rsid w:val="00B20DAB"/>
    <w:rsid w:val="00B2125B"/>
    <w:rsid w:val="00B219CF"/>
    <w:rsid w:val="00B237E4"/>
    <w:rsid w:val="00B25DBE"/>
    <w:rsid w:val="00B275CF"/>
    <w:rsid w:val="00B469FB"/>
    <w:rsid w:val="00B47688"/>
    <w:rsid w:val="00B52662"/>
    <w:rsid w:val="00B52DB5"/>
    <w:rsid w:val="00B54281"/>
    <w:rsid w:val="00B57BFA"/>
    <w:rsid w:val="00B6249A"/>
    <w:rsid w:val="00B63338"/>
    <w:rsid w:val="00B657AD"/>
    <w:rsid w:val="00B72088"/>
    <w:rsid w:val="00B73985"/>
    <w:rsid w:val="00B773A4"/>
    <w:rsid w:val="00B80057"/>
    <w:rsid w:val="00B81DB9"/>
    <w:rsid w:val="00B9275D"/>
    <w:rsid w:val="00B93BCD"/>
    <w:rsid w:val="00B94892"/>
    <w:rsid w:val="00BA011E"/>
    <w:rsid w:val="00BA5851"/>
    <w:rsid w:val="00BB097D"/>
    <w:rsid w:val="00BB0B23"/>
    <w:rsid w:val="00BB5151"/>
    <w:rsid w:val="00BC3103"/>
    <w:rsid w:val="00BC45A0"/>
    <w:rsid w:val="00BC6640"/>
    <w:rsid w:val="00BC6AFA"/>
    <w:rsid w:val="00BC710E"/>
    <w:rsid w:val="00BC7E06"/>
    <w:rsid w:val="00BD74D6"/>
    <w:rsid w:val="00BE0116"/>
    <w:rsid w:val="00BF2A08"/>
    <w:rsid w:val="00BF428F"/>
    <w:rsid w:val="00C02D79"/>
    <w:rsid w:val="00C15D09"/>
    <w:rsid w:val="00C22FD6"/>
    <w:rsid w:val="00C25618"/>
    <w:rsid w:val="00C25BC5"/>
    <w:rsid w:val="00C27C71"/>
    <w:rsid w:val="00C308BD"/>
    <w:rsid w:val="00C317F5"/>
    <w:rsid w:val="00C36CAB"/>
    <w:rsid w:val="00C40D8B"/>
    <w:rsid w:val="00C43C75"/>
    <w:rsid w:val="00C50474"/>
    <w:rsid w:val="00C536CF"/>
    <w:rsid w:val="00C54C55"/>
    <w:rsid w:val="00C56414"/>
    <w:rsid w:val="00C57C11"/>
    <w:rsid w:val="00C63DA6"/>
    <w:rsid w:val="00C64C72"/>
    <w:rsid w:val="00C64D98"/>
    <w:rsid w:val="00C66E77"/>
    <w:rsid w:val="00C677A8"/>
    <w:rsid w:val="00C70452"/>
    <w:rsid w:val="00C71563"/>
    <w:rsid w:val="00C76F85"/>
    <w:rsid w:val="00C81D58"/>
    <w:rsid w:val="00C90EEF"/>
    <w:rsid w:val="00C92F14"/>
    <w:rsid w:val="00C94256"/>
    <w:rsid w:val="00C94600"/>
    <w:rsid w:val="00CA3454"/>
    <w:rsid w:val="00CA70E9"/>
    <w:rsid w:val="00CB294F"/>
    <w:rsid w:val="00CB67A6"/>
    <w:rsid w:val="00CC39BF"/>
    <w:rsid w:val="00CC4188"/>
    <w:rsid w:val="00CC50CF"/>
    <w:rsid w:val="00CC6097"/>
    <w:rsid w:val="00CC6886"/>
    <w:rsid w:val="00CC7224"/>
    <w:rsid w:val="00CC761D"/>
    <w:rsid w:val="00CD3ECE"/>
    <w:rsid w:val="00CD629B"/>
    <w:rsid w:val="00CE02B9"/>
    <w:rsid w:val="00CE3556"/>
    <w:rsid w:val="00CE3939"/>
    <w:rsid w:val="00CE7DA5"/>
    <w:rsid w:val="00CF0EAE"/>
    <w:rsid w:val="00CF1829"/>
    <w:rsid w:val="00CF3B97"/>
    <w:rsid w:val="00CF5572"/>
    <w:rsid w:val="00CF5AA3"/>
    <w:rsid w:val="00D00B15"/>
    <w:rsid w:val="00D0151B"/>
    <w:rsid w:val="00D01B1C"/>
    <w:rsid w:val="00D03B4F"/>
    <w:rsid w:val="00D0515E"/>
    <w:rsid w:val="00D05421"/>
    <w:rsid w:val="00D14F0F"/>
    <w:rsid w:val="00D15061"/>
    <w:rsid w:val="00D16EDF"/>
    <w:rsid w:val="00D17DEA"/>
    <w:rsid w:val="00D300C1"/>
    <w:rsid w:val="00D30454"/>
    <w:rsid w:val="00D3319B"/>
    <w:rsid w:val="00D35C6C"/>
    <w:rsid w:val="00D41337"/>
    <w:rsid w:val="00D449D2"/>
    <w:rsid w:val="00D50A8E"/>
    <w:rsid w:val="00D579AF"/>
    <w:rsid w:val="00D62424"/>
    <w:rsid w:val="00D650AA"/>
    <w:rsid w:val="00D70B5A"/>
    <w:rsid w:val="00D748F2"/>
    <w:rsid w:val="00D74F60"/>
    <w:rsid w:val="00D7711D"/>
    <w:rsid w:val="00D8069F"/>
    <w:rsid w:val="00D82B3B"/>
    <w:rsid w:val="00D83E28"/>
    <w:rsid w:val="00D8702D"/>
    <w:rsid w:val="00D952B2"/>
    <w:rsid w:val="00D962C3"/>
    <w:rsid w:val="00D9696E"/>
    <w:rsid w:val="00DA10F1"/>
    <w:rsid w:val="00DA1964"/>
    <w:rsid w:val="00DA3323"/>
    <w:rsid w:val="00DA4014"/>
    <w:rsid w:val="00DC1325"/>
    <w:rsid w:val="00DC3E06"/>
    <w:rsid w:val="00DC7C70"/>
    <w:rsid w:val="00DD00E1"/>
    <w:rsid w:val="00DD0C64"/>
    <w:rsid w:val="00DD21C1"/>
    <w:rsid w:val="00DE4A40"/>
    <w:rsid w:val="00DE784F"/>
    <w:rsid w:val="00DF1CE3"/>
    <w:rsid w:val="00DF278B"/>
    <w:rsid w:val="00DF2C87"/>
    <w:rsid w:val="00DF59C7"/>
    <w:rsid w:val="00E00584"/>
    <w:rsid w:val="00E01094"/>
    <w:rsid w:val="00E02BC1"/>
    <w:rsid w:val="00E03272"/>
    <w:rsid w:val="00E04EB6"/>
    <w:rsid w:val="00E05221"/>
    <w:rsid w:val="00E101E7"/>
    <w:rsid w:val="00E12E9C"/>
    <w:rsid w:val="00E12F6F"/>
    <w:rsid w:val="00E14B2A"/>
    <w:rsid w:val="00E168EE"/>
    <w:rsid w:val="00E16D8A"/>
    <w:rsid w:val="00E20BDE"/>
    <w:rsid w:val="00E25139"/>
    <w:rsid w:val="00E2608E"/>
    <w:rsid w:val="00E31AD6"/>
    <w:rsid w:val="00E41AA9"/>
    <w:rsid w:val="00E44A4E"/>
    <w:rsid w:val="00E4700D"/>
    <w:rsid w:val="00E476A0"/>
    <w:rsid w:val="00E537A5"/>
    <w:rsid w:val="00E56ADE"/>
    <w:rsid w:val="00E7241F"/>
    <w:rsid w:val="00E73197"/>
    <w:rsid w:val="00E737D7"/>
    <w:rsid w:val="00E749EC"/>
    <w:rsid w:val="00E81737"/>
    <w:rsid w:val="00E82AF1"/>
    <w:rsid w:val="00E84D04"/>
    <w:rsid w:val="00E84D32"/>
    <w:rsid w:val="00E869E1"/>
    <w:rsid w:val="00E86E97"/>
    <w:rsid w:val="00E9165E"/>
    <w:rsid w:val="00E92102"/>
    <w:rsid w:val="00E9228A"/>
    <w:rsid w:val="00E94144"/>
    <w:rsid w:val="00EA0252"/>
    <w:rsid w:val="00EA1E1C"/>
    <w:rsid w:val="00EA2777"/>
    <w:rsid w:val="00EA4813"/>
    <w:rsid w:val="00EA4999"/>
    <w:rsid w:val="00EA7D00"/>
    <w:rsid w:val="00EB0873"/>
    <w:rsid w:val="00EB394D"/>
    <w:rsid w:val="00EC0AC3"/>
    <w:rsid w:val="00EC6407"/>
    <w:rsid w:val="00ED3173"/>
    <w:rsid w:val="00ED4069"/>
    <w:rsid w:val="00ED7DD4"/>
    <w:rsid w:val="00EE1344"/>
    <w:rsid w:val="00EE3220"/>
    <w:rsid w:val="00EE5AAA"/>
    <w:rsid w:val="00F02C09"/>
    <w:rsid w:val="00F02CB5"/>
    <w:rsid w:val="00F03290"/>
    <w:rsid w:val="00F03B85"/>
    <w:rsid w:val="00F03C63"/>
    <w:rsid w:val="00F0785D"/>
    <w:rsid w:val="00F1463B"/>
    <w:rsid w:val="00F14D1D"/>
    <w:rsid w:val="00F266D6"/>
    <w:rsid w:val="00F2670A"/>
    <w:rsid w:val="00F364DB"/>
    <w:rsid w:val="00F3659A"/>
    <w:rsid w:val="00F374A8"/>
    <w:rsid w:val="00F441D5"/>
    <w:rsid w:val="00F45B47"/>
    <w:rsid w:val="00F4626D"/>
    <w:rsid w:val="00F47738"/>
    <w:rsid w:val="00F47DCB"/>
    <w:rsid w:val="00F51228"/>
    <w:rsid w:val="00F51375"/>
    <w:rsid w:val="00F54731"/>
    <w:rsid w:val="00F561A6"/>
    <w:rsid w:val="00F56C44"/>
    <w:rsid w:val="00F66E61"/>
    <w:rsid w:val="00F70295"/>
    <w:rsid w:val="00F76C31"/>
    <w:rsid w:val="00F7709A"/>
    <w:rsid w:val="00F83763"/>
    <w:rsid w:val="00F84313"/>
    <w:rsid w:val="00F86D1E"/>
    <w:rsid w:val="00F87F41"/>
    <w:rsid w:val="00F9074A"/>
    <w:rsid w:val="00F93ED6"/>
    <w:rsid w:val="00F94A5A"/>
    <w:rsid w:val="00F968EF"/>
    <w:rsid w:val="00FA0599"/>
    <w:rsid w:val="00FA1300"/>
    <w:rsid w:val="00FA32E7"/>
    <w:rsid w:val="00FA40D2"/>
    <w:rsid w:val="00FA48DD"/>
    <w:rsid w:val="00FB2D79"/>
    <w:rsid w:val="00FC3662"/>
    <w:rsid w:val="00FD1DE9"/>
    <w:rsid w:val="00FD1FD6"/>
    <w:rsid w:val="00FD4718"/>
    <w:rsid w:val="00FE5B92"/>
    <w:rsid w:val="00FF1E89"/>
    <w:rsid w:val="00FF379A"/>
    <w:rsid w:val="00FF3850"/>
    <w:rsid w:val="00FF434C"/>
    <w:rsid w:val="00FF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006"/>
    </o:shapedefaults>
    <o:shapelayout v:ext="edit">
      <o:idmap v:ext="edit" data="1"/>
    </o:shapelayout>
  </w:shapeDefaults>
  <w:decimalSymbol w:val="."/>
  <w:listSeparator w:val=","/>
  <w14:docId w14:val="35128C02"/>
  <w15:chartTrackingRefBased/>
  <w15:docId w15:val="{CC53F015-0D52-4883-8222-7FBB7F80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7877"/>
      </w:tabs>
      <w:spacing w:after="240"/>
    </w:pPr>
    <w:rPr>
      <w:rFonts w:ascii="Arial" w:hAnsi="Arial"/>
      <w:sz w:val="22"/>
      <w:szCs w:val="24"/>
      <w:lang w:eastAsia="en-US"/>
    </w:rPr>
  </w:style>
  <w:style w:type="paragraph" w:styleId="Heading1">
    <w:name w:val="heading 1"/>
    <w:basedOn w:val="Normal"/>
    <w:next w:val="Normal"/>
    <w:qFormat/>
    <w:pPr>
      <w:keepNext/>
      <w:numPr>
        <w:numId w:val="1"/>
      </w:numPr>
      <w:spacing w:before="360" w:after="120"/>
      <w:outlineLvl w:val="0"/>
    </w:pPr>
    <w:rPr>
      <w:rFonts w:cs="Arial"/>
      <w:b/>
      <w:bCs/>
      <w:caps/>
      <w:kern w:val="32"/>
      <w:sz w:val="28"/>
      <w:szCs w:val="32"/>
    </w:rPr>
  </w:style>
  <w:style w:type="paragraph" w:styleId="Heading2">
    <w:name w:val="heading 2"/>
    <w:aliases w:val="Guide Title"/>
    <w:basedOn w:val="Normal"/>
    <w:next w:val="Normal"/>
    <w:qFormat/>
    <w:pPr>
      <w:keepNext/>
      <w:numPr>
        <w:ilvl w:val="1"/>
        <w:numId w:val="1"/>
      </w:numPr>
      <w:spacing w:before="240" w:after="12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120"/>
      <w:outlineLvl w:val="2"/>
    </w:pPr>
    <w:rPr>
      <w:rFonts w:cs="Arial"/>
      <w:b/>
      <w:bCs/>
      <w:szCs w:val="26"/>
    </w:rPr>
  </w:style>
  <w:style w:type="paragraph" w:styleId="Heading4">
    <w:name w:val="heading 4"/>
    <w:basedOn w:val="Normal"/>
    <w:next w:val="Normal"/>
    <w:qFormat/>
    <w:pPr>
      <w:keepNext/>
      <w:numPr>
        <w:ilvl w:val="3"/>
        <w:numId w:val="1"/>
      </w:numPr>
      <w:spacing w:before="240" w:after="60"/>
      <w:outlineLvl w:val="3"/>
    </w:pPr>
    <w:rPr>
      <w:bCs/>
      <w:i/>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color w:val="FF0000"/>
    </w:rPr>
  </w:style>
  <w:style w:type="paragraph" w:customStyle="1" w:styleId="Hidden">
    <w:name w:val="Hidden"/>
    <w:basedOn w:val="Normal"/>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jc w:val="both"/>
    </w:pPr>
    <w:rPr>
      <w:rFonts w:ascii="CG Times Italic" w:hAnsi="CG Times Italic"/>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
      </w:numPr>
    </w:pPr>
    <w:rPr>
      <w:color w:val="FF0000"/>
    </w:rPr>
  </w:style>
  <w:style w:type="paragraph" w:styleId="Title">
    <w:name w:val="Title"/>
    <w:basedOn w:val="Normal"/>
    <w:next w:val="Normal"/>
    <w:qFormat/>
    <w:pPr>
      <w:jc w:val="center"/>
      <w:outlineLvl w:val="0"/>
    </w:pPr>
    <w:rPr>
      <w:rFonts w:cs="Arial"/>
      <w:b/>
      <w:bCs/>
      <w:kern w:val="28"/>
      <w:szCs w:val="32"/>
    </w:rPr>
  </w:style>
  <w:style w:type="paragraph" w:styleId="TOC9">
    <w:name w:val="toc 9"/>
    <w:basedOn w:val="Normal"/>
    <w:next w:val="Normal"/>
    <w:autoRedefine/>
    <w:semiHidden/>
    <w:pPr>
      <w:tabs>
        <w:tab w:val="clear" w:pos="576"/>
        <w:tab w:val="clear" w:pos="1152"/>
        <w:tab w:val="clear" w:pos="1728"/>
        <w:tab w:val="clear" w:pos="5760"/>
      </w:tabs>
      <w:ind w:left="192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BodyText">
    <w:name w:val="Body Text"/>
    <w:basedOn w:val="Normal"/>
    <w:semiHidden/>
    <w:pPr>
      <w:jc w:val="both"/>
    </w:pPr>
  </w:style>
  <w:style w:type="paragraph" w:customStyle="1" w:styleId="MemoRef">
    <w:name w:val="MemoRef"/>
    <w:basedOn w:val="Normal"/>
    <w:pPr>
      <w:tabs>
        <w:tab w:val="clear" w:pos="576"/>
        <w:tab w:val="clear" w:pos="1152"/>
        <w:tab w:val="clear" w:pos="1728"/>
        <w:tab w:val="clear" w:pos="5760"/>
        <w:tab w:val="clear" w:pos="7877"/>
        <w:tab w:val="left" w:pos="720"/>
        <w:tab w:val="right" w:pos="9029"/>
      </w:tabs>
      <w:ind w:left="720" w:hanging="720"/>
    </w:pPr>
  </w:style>
  <w:style w:type="paragraph" w:customStyle="1" w:styleId="MemoTo">
    <w:name w:val="MemoTo"/>
    <w:basedOn w:val="Normal"/>
    <w:pPr>
      <w:tabs>
        <w:tab w:val="clear" w:pos="576"/>
        <w:tab w:val="clear" w:pos="1728"/>
        <w:tab w:val="clear" w:pos="5760"/>
        <w:tab w:val="clear" w:pos="7877"/>
        <w:tab w:val="right" w:pos="9029"/>
      </w:tabs>
      <w:ind w:left="1152" w:hanging="1152"/>
    </w:pPr>
  </w:style>
  <w:style w:type="paragraph" w:customStyle="1" w:styleId="To">
    <w:name w:val="To"/>
    <w:pPr>
      <w:widowControl w:val="0"/>
      <w:tabs>
        <w:tab w:val="left" w:pos="-432"/>
        <w:tab w:val="left" w:pos="0"/>
        <w:tab w:val="left" w:pos="1152"/>
        <w:tab w:val="left" w:pos="6624"/>
      </w:tabs>
      <w:suppressAutoHyphens/>
      <w:autoSpaceDE w:val="0"/>
      <w:autoSpaceDN w:val="0"/>
      <w:adjustRightInd w:val="0"/>
      <w:spacing w:line="240" w:lineRule="atLeast"/>
      <w:ind w:left="1152" w:hanging="1152"/>
    </w:pPr>
    <w:rPr>
      <w:rFonts w:ascii="CG Times" w:hAnsi="CG Times"/>
      <w:sz w:val="24"/>
      <w:szCs w:val="24"/>
      <w:lang w:val="en-US" w:eastAsia="en-US"/>
    </w:r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TickBox">
    <w:name w:val="TickBox"/>
    <w:basedOn w:val="DefaultParagraphFont"/>
  </w:style>
  <w:style w:type="paragraph" w:customStyle="1" w:styleId="FootnoteSeparator">
    <w:name w:val="Footnote Separator"/>
    <w:basedOn w:val="FootnoteText"/>
    <w:pPr>
      <w:tabs>
        <w:tab w:val="clear" w:pos="7877"/>
        <w:tab w:val="right" w:pos="9029"/>
      </w:tabs>
      <w:spacing w:after="0" w:line="240" w:lineRule="auto"/>
      <w:ind w:firstLine="0"/>
    </w:pPr>
  </w:style>
  <w:style w:type="character" w:styleId="Hyperlink">
    <w:name w:val="Hyperlink"/>
    <w:uiPriority w:val="99"/>
    <w:rPr>
      <w:rFonts w:ascii="Arial" w:hAnsi="Arial"/>
      <w:color w:val="auto"/>
      <w:sz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lang w:val="x-none"/>
    </w:rPr>
  </w:style>
  <w:style w:type="paragraph" w:styleId="EnvelopeReturn">
    <w:name w:val="envelope return"/>
    <w:basedOn w:val="Normal"/>
    <w:semiHidden/>
    <w:pPr>
      <w:tabs>
        <w:tab w:val="clear" w:pos="7877"/>
        <w:tab w:val="right" w:pos="9029"/>
      </w:tabs>
      <w:spacing w:after="0"/>
    </w:pPr>
    <w:rPr>
      <w:sz w:val="20"/>
      <w:szCs w:val="20"/>
    </w:rPr>
  </w:style>
  <w:style w:type="paragraph" w:styleId="ListBullet">
    <w:name w:val="List Bullet"/>
    <w:basedOn w:val="Normal"/>
    <w:pPr>
      <w:numPr>
        <w:numId w:val="3"/>
      </w:numPr>
    </w:pPr>
  </w:style>
  <w:style w:type="paragraph" w:styleId="ListContinue">
    <w:name w:val="List Continue"/>
    <w:basedOn w:val="Normal"/>
    <w:semiHidden/>
    <w:pPr>
      <w:numPr>
        <w:ilvl w:val="1"/>
        <w:numId w:val="3"/>
      </w:numPr>
      <w:tabs>
        <w:tab w:val="clear" w:pos="576"/>
      </w:tabs>
    </w:pPr>
  </w:style>
  <w:style w:type="paragraph" w:styleId="ListBullet2">
    <w:name w:val="List Bullet 2"/>
    <w:basedOn w:val="Normal"/>
    <w:semiHidden/>
    <w:pPr>
      <w:numPr>
        <w:ilvl w:val="2"/>
        <w:numId w:val="3"/>
      </w:numPr>
      <w:tabs>
        <w:tab w:val="clear" w:pos="576"/>
      </w:tabs>
    </w:pPr>
  </w:style>
  <w:style w:type="paragraph" w:styleId="ListContinue2">
    <w:name w:val="List Continue 2"/>
    <w:basedOn w:val="Normal"/>
    <w:semiHidden/>
    <w:pPr>
      <w:numPr>
        <w:ilvl w:val="3"/>
        <w:numId w:val="3"/>
      </w:numPr>
      <w:tabs>
        <w:tab w:val="clear" w:pos="576"/>
      </w:tabs>
    </w:pPr>
  </w:style>
  <w:style w:type="paragraph" w:styleId="BodyTextIndent">
    <w:name w:val="Body Text Indent"/>
    <w:basedOn w:val="Normal"/>
    <w:semiHidden/>
    <w:pPr>
      <w:ind w:left="576"/>
    </w:pPr>
    <w:rPr>
      <w:color w:val="FF0000"/>
    </w:rPr>
  </w:style>
  <w:style w:type="paragraph" w:styleId="BodyTextIndent2">
    <w:name w:val="Body Text Indent 2"/>
    <w:basedOn w:val="Normal"/>
    <w:semiHidden/>
    <w:pPr>
      <w:tabs>
        <w:tab w:val="clear" w:pos="576"/>
        <w:tab w:val="clear" w:pos="1152"/>
      </w:tabs>
      <w:ind w:left="1200" w:hanging="600"/>
    </w:pPr>
  </w:style>
  <w:style w:type="paragraph" w:styleId="BodyTextIndent3">
    <w:name w:val="Body Text Indent 3"/>
    <w:basedOn w:val="Normal"/>
    <w:semiHidden/>
    <w:pPr>
      <w:ind w:left="576"/>
    </w:pPr>
  </w:style>
  <w:style w:type="paragraph" w:styleId="HTMLPreformatted">
    <w:name w:val="HTML Preformatted"/>
    <w:basedOn w:val="Normal"/>
    <w:semiHidden/>
    <w:pPr>
      <w:tabs>
        <w:tab w:val="clear" w:pos="576"/>
        <w:tab w:val="clear" w:pos="1152"/>
        <w:tab w:val="clear" w:pos="1728"/>
        <w:tab w:val="clear" w:pos="5760"/>
        <w:tab w:val="clear" w:pos="78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LinkMail">
    <w:name w:val="LinkMail"/>
    <w:rPr>
      <w:color w:val="FF0000"/>
    </w:rPr>
  </w:style>
  <w:style w:type="character" w:customStyle="1" w:styleId="LinkWeb">
    <w:name w:val="LinkWeb"/>
    <w:rPr>
      <w:color w:val="0000FF"/>
    </w:rPr>
  </w:style>
  <w:style w:type="paragraph" w:customStyle="1" w:styleId="xl29">
    <w:name w:val="xl29"/>
    <w:basedOn w:val="Normal"/>
    <w:pPr>
      <w:pBdr>
        <w:top w:val="single" w:sz="4" w:space="0" w:color="auto"/>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0">
    <w:name w:val="xl30"/>
    <w:basedOn w:val="Normal"/>
    <w:pPr>
      <w:pBdr>
        <w:top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1">
    <w:name w:val="xl31"/>
    <w:basedOn w:val="Normal"/>
    <w:pPr>
      <w:pBdr>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2">
    <w:name w:val="xl32"/>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3">
    <w:name w:val="xl33"/>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4">
    <w:name w:val="xl34"/>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5">
    <w:name w:val="xl35"/>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character" w:styleId="FollowedHyperlink">
    <w:name w:val="FollowedHyperlink"/>
    <w:semiHidden/>
    <w:rPr>
      <w:rFonts w:ascii="Arial" w:hAnsi="Arial"/>
      <w:color w:val="auto"/>
      <w:sz w:val="22"/>
      <w:u w:val="single"/>
    </w:rPr>
  </w:style>
  <w:style w:type="paragraph" w:customStyle="1" w:styleId="xl36">
    <w:name w:val="xl36"/>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7">
    <w:name w:val="xl37"/>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8">
    <w:name w:val="xl38"/>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9">
    <w:name w:val="xl39"/>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b/>
      <w:bCs/>
      <w:color w:val="000000"/>
      <w:sz w:val="16"/>
      <w:szCs w:val="16"/>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Index1">
    <w:name w:val="index 1"/>
    <w:basedOn w:val="Normal"/>
    <w:next w:val="Normal"/>
    <w:autoRedefine/>
    <w:semiHidden/>
    <w:pPr>
      <w:tabs>
        <w:tab w:val="clear" w:pos="576"/>
        <w:tab w:val="clear" w:pos="1152"/>
        <w:tab w:val="clear" w:pos="1728"/>
        <w:tab w:val="clear" w:pos="5760"/>
        <w:tab w:val="clear" w:pos="7877"/>
      </w:tabs>
      <w:ind w:left="240" w:hanging="240"/>
    </w:pPr>
  </w:style>
  <w:style w:type="paragraph" w:styleId="Index2">
    <w:name w:val="index 2"/>
    <w:basedOn w:val="Normal"/>
    <w:next w:val="Normal"/>
    <w:autoRedefine/>
    <w:semiHidden/>
    <w:pPr>
      <w:tabs>
        <w:tab w:val="clear" w:pos="576"/>
        <w:tab w:val="clear" w:pos="1152"/>
        <w:tab w:val="clear" w:pos="1728"/>
        <w:tab w:val="clear" w:pos="5760"/>
        <w:tab w:val="clear" w:pos="7877"/>
      </w:tabs>
      <w:ind w:left="480" w:hanging="240"/>
    </w:pPr>
  </w:style>
  <w:style w:type="paragraph" w:styleId="Index3">
    <w:name w:val="index 3"/>
    <w:basedOn w:val="Normal"/>
    <w:next w:val="Normal"/>
    <w:autoRedefine/>
    <w:semiHidden/>
    <w:pPr>
      <w:tabs>
        <w:tab w:val="clear" w:pos="576"/>
        <w:tab w:val="clear" w:pos="1152"/>
        <w:tab w:val="clear" w:pos="1728"/>
        <w:tab w:val="clear" w:pos="5760"/>
        <w:tab w:val="clear" w:pos="7877"/>
      </w:tabs>
      <w:ind w:left="720" w:hanging="240"/>
    </w:pPr>
  </w:style>
  <w:style w:type="paragraph" w:styleId="Index4">
    <w:name w:val="index 4"/>
    <w:basedOn w:val="Normal"/>
    <w:next w:val="Normal"/>
    <w:autoRedefine/>
    <w:semiHidden/>
    <w:pPr>
      <w:tabs>
        <w:tab w:val="clear" w:pos="576"/>
        <w:tab w:val="clear" w:pos="1152"/>
        <w:tab w:val="clear" w:pos="1728"/>
        <w:tab w:val="clear" w:pos="5760"/>
        <w:tab w:val="clear" w:pos="7877"/>
      </w:tabs>
      <w:ind w:left="960" w:hanging="240"/>
    </w:pPr>
  </w:style>
  <w:style w:type="paragraph" w:styleId="Index5">
    <w:name w:val="index 5"/>
    <w:basedOn w:val="Normal"/>
    <w:next w:val="Normal"/>
    <w:autoRedefine/>
    <w:semiHidden/>
    <w:pPr>
      <w:tabs>
        <w:tab w:val="clear" w:pos="576"/>
        <w:tab w:val="clear" w:pos="1152"/>
        <w:tab w:val="clear" w:pos="1728"/>
        <w:tab w:val="clear" w:pos="5760"/>
        <w:tab w:val="clear" w:pos="7877"/>
      </w:tabs>
      <w:ind w:left="1200" w:hanging="240"/>
    </w:pPr>
  </w:style>
  <w:style w:type="paragraph" w:styleId="Index6">
    <w:name w:val="index 6"/>
    <w:basedOn w:val="Normal"/>
    <w:next w:val="Normal"/>
    <w:autoRedefine/>
    <w:semiHidden/>
    <w:pPr>
      <w:tabs>
        <w:tab w:val="clear" w:pos="576"/>
        <w:tab w:val="clear" w:pos="1152"/>
        <w:tab w:val="clear" w:pos="1728"/>
        <w:tab w:val="clear" w:pos="5760"/>
        <w:tab w:val="clear" w:pos="7877"/>
      </w:tabs>
      <w:ind w:left="1440" w:hanging="240"/>
    </w:pPr>
  </w:style>
  <w:style w:type="paragraph" w:styleId="Index7">
    <w:name w:val="index 7"/>
    <w:basedOn w:val="Normal"/>
    <w:next w:val="Normal"/>
    <w:autoRedefine/>
    <w:semiHidden/>
    <w:pPr>
      <w:tabs>
        <w:tab w:val="clear" w:pos="576"/>
        <w:tab w:val="clear" w:pos="1152"/>
        <w:tab w:val="clear" w:pos="1728"/>
        <w:tab w:val="clear" w:pos="5760"/>
        <w:tab w:val="clear" w:pos="7877"/>
      </w:tabs>
      <w:ind w:left="1680" w:hanging="240"/>
    </w:pPr>
  </w:style>
  <w:style w:type="paragraph" w:styleId="Index8">
    <w:name w:val="index 8"/>
    <w:basedOn w:val="Normal"/>
    <w:next w:val="Normal"/>
    <w:autoRedefine/>
    <w:semiHidden/>
    <w:pPr>
      <w:tabs>
        <w:tab w:val="clear" w:pos="576"/>
        <w:tab w:val="clear" w:pos="1152"/>
        <w:tab w:val="clear" w:pos="1728"/>
        <w:tab w:val="clear" w:pos="5760"/>
        <w:tab w:val="clear" w:pos="7877"/>
      </w:tabs>
      <w:ind w:left="1920" w:hanging="240"/>
    </w:pPr>
  </w:style>
  <w:style w:type="paragraph" w:styleId="Index9">
    <w:name w:val="index 9"/>
    <w:basedOn w:val="Normal"/>
    <w:next w:val="Normal"/>
    <w:autoRedefine/>
    <w:semiHidden/>
    <w:pPr>
      <w:tabs>
        <w:tab w:val="clear" w:pos="576"/>
        <w:tab w:val="clear" w:pos="1152"/>
        <w:tab w:val="clear" w:pos="1728"/>
        <w:tab w:val="clear" w:pos="5760"/>
        <w:tab w:val="clear" w:pos="7877"/>
      </w:tabs>
      <w:ind w:left="2160" w:hanging="240"/>
    </w:pPr>
  </w:style>
  <w:style w:type="paragraph" w:styleId="IndexHeading">
    <w:name w:val="index heading"/>
    <w:basedOn w:val="Normal"/>
    <w:next w:val="Index1"/>
    <w:semiHidden/>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styleId="TOC2">
    <w:name w:val="toc 2"/>
    <w:basedOn w:val="Normal"/>
    <w:next w:val="Normal"/>
    <w:autoRedefine/>
    <w:uiPriority w:val="39"/>
    <w:pPr>
      <w:tabs>
        <w:tab w:val="clear" w:pos="576"/>
        <w:tab w:val="clear" w:pos="1152"/>
        <w:tab w:val="clear" w:pos="1728"/>
        <w:tab w:val="clear" w:pos="5760"/>
        <w:tab w:val="clear" w:pos="7877"/>
        <w:tab w:val="left" w:pos="960"/>
        <w:tab w:val="right" w:leader="dot" w:pos="9620"/>
      </w:tabs>
      <w:spacing w:after="0" w:line="360" w:lineRule="auto"/>
      <w:ind w:left="238"/>
      <w:jc w:val="both"/>
    </w:pPr>
    <w:rPr>
      <w:noProof/>
    </w:rPr>
  </w:style>
  <w:style w:type="paragraph" w:styleId="TOC3">
    <w:name w:val="toc 3"/>
    <w:basedOn w:val="Normal"/>
    <w:next w:val="Normal"/>
    <w:autoRedefine/>
    <w:semiHidden/>
    <w:pPr>
      <w:tabs>
        <w:tab w:val="clear" w:pos="576"/>
        <w:tab w:val="clear" w:pos="1152"/>
        <w:tab w:val="clear" w:pos="1728"/>
        <w:tab w:val="clear" w:pos="5760"/>
        <w:tab w:val="clear" w:pos="7877"/>
        <w:tab w:val="left" w:pos="1361"/>
        <w:tab w:val="left" w:leader="dot" w:pos="9356"/>
      </w:tabs>
      <w:spacing w:after="0"/>
      <w:ind w:left="482"/>
    </w:pPr>
  </w:style>
  <w:style w:type="paragraph" w:styleId="TOC1">
    <w:name w:val="toc 1"/>
    <w:basedOn w:val="Normal"/>
    <w:next w:val="Normal"/>
    <w:autoRedefine/>
    <w:uiPriority w:val="39"/>
    <w:pPr>
      <w:tabs>
        <w:tab w:val="clear" w:pos="576"/>
        <w:tab w:val="clear" w:pos="1152"/>
        <w:tab w:val="clear" w:pos="1728"/>
        <w:tab w:val="clear" w:pos="5760"/>
        <w:tab w:val="clear" w:pos="7877"/>
        <w:tab w:val="left" w:pos="482"/>
        <w:tab w:val="right" w:leader="dot" w:pos="9620"/>
      </w:tabs>
      <w:spacing w:after="0" w:line="360" w:lineRule="auto"/>
    </w:pPr>
    <w:rPr>
      <w:b/>
      <w:noProof/>
      <w:sz w:val="24"/>
    </w:rPr>
  </w:style>
  <w:style w:type="paragraph" w:styleId="TOC4">
    <w:name w:val="toc 4"/>
    <w:basedOn w:val="Normal"/>
    <w:next w:val="Normal"/>
    <w:autoRedefine/>
    <w:semiHidden/>
    <w:pPr>
      <w:tabs>
        <w:tab w:val="clear" w:pos="576"/>
        <w:tab w:val="clear" w:pos="1152"/>
        <w:tab w:val="clear" w:pos="1728"/>
        <w:tab w:val="clear" w:pos="5760"/>
        <w:tab w:val="clear" w:pos="7877"/>
      </w:tabs>
      <w:ind w:left="720"/>
    </w:pPr>
  </w:style>
  <w:style w:type="paragraph" w:styleId="TOC5">
    <w:name w:val="toc 5"/>
    <w:basedOn w:val="Normal"/>
    <w:next w:val="Normal"/>
    <w:autoRedefine/>
    <w:semiHidden/>
    <w:pPr>
      <w:tabs>
        <w:tab w:val="clear" w:pos="576"/>
        <w:tab w:val="clear" w:pos="1152"/>
        <w:tab w:val="clear" w:pos="1728"/>
        <w:tab w:val="clear" w:pos="5760"/>
        <w:tab w:val="clear" w:pos="7877"/>
      </w:tabs>
      <w:ind w:left="960"/>
    </w:pPr>
  </w:style>
  <w:style w:type="paragraph" w:styleId="TOC6">
    <w:name w:val="toc 6"/>
    <w:basedOn w:val="Normal"/>
    <w:next w:val="Normal"/>
    <w:autoRedefine/>
    <w:semiHidden/>
    <w:pPr>
      <w:tabs>
        <w:tab w:val="clear" w:pos="576"/>
        <w:tab w:val="clear" w:pos="1152"/>
        <w:tab w:val="clear" w:pos="1728"/>
        <w:tab w:val="clear" w:pos="5760"/>
        <w:tab w:val="clear" w:pos="7877"/>
      </w:tabs>
      <w:ind w:left="1200"/>
    </w:pPr>
  </w:style>
  <w:style w:type="paragraph" w:styleId="TOC7">
    <w:name w:val="toc 7"/>
    <w:basedOn w:val="Normal"/>
    <w:next w:val="Normal"/>
    <w:autoRedefine/>
    <w:semiHidden/>
    <w:pPr>
      <w:tabs>
        <w:tab w:val="clear" w:pos="576"/>
        <w:tab w:val="clear" w:pos="1152"/>
        <w:tab w:val="clear" w:pos="1728"/>
        <w:tab w:val="clear" w:pos="5760"/>
        <w:tab w:val="clear" w:pos="7877"/>
      </w:tabs>
      <w:ind w:left="1440"/>
    </w:pPr>
  </w:style>
  <w:style w:type="paragraph" w:styleId="TOC8">
    <w:name w:val="toc 8"/>
    <w:basedOn w:val="Normal"/>
    <w:next w:val="Normal"/>
    <w:autoRedefine/>
    <w:semiHidden/>
    <w:pPr>
      <w:tabs>
        <w:tab w:val="clear" w:pos="576"/>
        <w:tab w:val="clear" w:pos="1152"/>
        <w:tab w:val="clear" w:pos="1728"/>
        <w:tab w:val="clear" w:pos="5760"/>
        <w:tab w:val="clear" w:pos="7877"/>
      </w:tabs>
      <w:ind w:left="1680"/>
    </w:pPr>
  </w:style>
  <w:style w:type="paragraph" w:styleId="NormalWeb">
    <w:name w:val="Normal (Web)"/>
    <w:basedOn w:val="Normal"/>
    <w:semiHidden/>
    <w:pPr>
      <w:tabs>
        <w:tab w:val="clear" w:pos="576"/>
        <w:tab w:val="clear" w:pos="1152"/>
        <w:tab w:val="clear" w:pos="1728"/>
        <w:tab w:val="clear" w:pos="5760"/>
        <w:tab w:val="clear" w:pos="7877"/>
      </w:tabs>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Guide Title Char"/>
    <w:rPr>
      <w:rFonts w:ascii="Arial" w:hAnsi="Arial" w:cs="Arial"/>
      <w:b/>
      <w:bCs/>
      <w:iCs/>
      <w:sz w:val="28"/>
      <w:szCs w:val="28"/>
      <w:lang w:eastAsia="en-US"/>
    </w:rPr>
  </w:style>
  <w:style w:type="character" w:customStyle="1" w:styleId="Heading3Char">
    <w:name w:val="Heading 3 Char"/>
    <w:rPr>
      <w:rFonts w:ascii="Arial" w:hAnsi="Arial" w:cs="Arial"/>
      <w:b/>
      <w:bCs/>
      <w:sz w:val="22"/>
      <w:szCs w:val="26"/>
      <w:lang w:eastAsia="en-US"/>
    </w:rPr>
  </w:style>
  <w:style w:type="character" w:customStyle="1" w:styleId="Heading4Char">
    <w:name w:val="Heading 4 Char"/>
    <w:rPr>
      <w:rFonts w:ascii="Arial" w:hAnsi="Arial"/>
      <w:bCs/>
      <w:i/>
      <w:sz w:val="22"/>
      <w:szCs w:val="28"/>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01F6"/>
    <w:rPr>
      <w:b/>
      <w:bCs/>
    </w:rPr>
  </w:style>
  <w:style w:type="character" w:customStyle="1" w:styleId="CommentTextChar">
    <w:name w:val="Comment Text Char"/>
    <w:link w:val="CommentText"/>
    <w:semiHidden/>
    <w:rsid w:val="009501F6"/>
    <w:rPr>
      <w:rFonts w:ascii="Arial" w:hAnsi="Arial"/>
      <w:lang w:eastAsia="en-US"/>
    </w:rPr>
  </w:style>
  <w:style w:type="character" w:customStyle="1" w:styleId="CommentSubjectChar">
    <w:name w:val="Comment Subject Char"/>
    <w:basedOn w:val="CommentTextChar"/>
    <w:link w:val="CommentSubject"/>
    <w:rsid w:val="009501F6"/>
    <w:rPr>
      <w:rFonts w:ascii="Arial" w:hAnsi="Arial"/>
      <w:lang w:eastAsia="en-US"/>
    </w:rPr>
  </w:style>
  <w:style w:type="paragraph" w:styleId="ListParagraph">
    <w:name w:val="List Paragraph"/>
    <w:basedOn w:val="Normal"/>
    <w:uiPriority w:val="34"/>
    <w:qFormat/>
    <w:rsid w:val="004A44CE"/>
    <w:pPr>
      <w:ind w:left="720"/>
    </w:pPr>
  </w:style>
  <w:style w:type="numbering" w:customStyle="1" w:styleId="Style1">
    <w:name w:val="Style1"/>
    <w:uiPriority w:val="99"/>
    <w:rsid w:val="00CE3939"/>
    <w:pPr>
      <w:numPr>
        <w:numId w:val="4"/>
      </w:numPr>
    </w:pPr>
  </w:style>
  <w:style w:type="character" w:customStyle="1" w:styleId="FooterChar">
    <w:name w:val="Footer Char"/>
    <w:link w:val="Footer"/>
    <w:uiPriority w:val="99"/>
    <w:rsid w:val="000B4DC2"/>
    <w:rPr>
      <w:rFonts w:ascii="Arial" w:hAnsi="Arial"/>
      <w:sz w:val="22"/>
      <w:szCs w:val="18"/>
      <w:lang w:eastAsia="en-US"/>
    </w:rPr>
  </w:style>
  <w:style w:type="table" w:styleId="TableGrid">
    <w:name w:val="Table Grid"/>
    <w:basedOn w:val="TableNormal"/>
    <w:uiPriority w:val="59"/>
    <w:rsid w:val="00721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2925">
      <w:bodyDiv w:val="1"/>
      <w:marLeft w:val="0"/>
      <w:marRight w:val="0"/>
      <w:marTop w:val="0"/>
      <w:marBottom w:val="0"/>
      <w:divBdr>
        <w:top w:val="none" w:sz="0" w:space="0" w:color="auto"/>
        <w:left w:val="none" w:sz="0" w:space="0" w:color="auto"/>
        <w:bottom w:val="none" w:sz="0" w:space="0" w:color="auto"/>
        <w:right w:val="none" w:sz="0" w:space="0" w:color="auto"/>
      </w:divBdr>
    </w:div>
    <w:div w:id="203255987">
      <w:bodyDiv w:val="1"/>
      <w:marLeft w:val="0"/>
      <w:marRight w:val="0"/>
      <w:marTop w:val="0"/>
      <w:marBottom w:val="0"/>
      <w:divBdr>
        <w:top w:val="none" w:sz="0" w:space="0" w:color="auto"/>
        <w:left w:val="none" w:sz="0" w:space="0" w:color="auto"/>
        <w:bottom w:val="none" w:sz="0" w:space="0" w:color="auto"/>
        <w:right w:val="none" w:sz="0" w:space="0" w:color="auto"/>
      </w:divBdr>
    </w:div>
    <w:div w:id="426389421">
      <w:bodyDiv w:val="1"/>
      <w:marLeft w:val="0"/>
      <w:marRight w:val="0"/>
      <w:marTop w:val="0"/>
      <w:marBottom w:val="0"/>
      <w:divBdr>
        <w:top w:val="none" w:sz="0" w:space="0" w:color="auto"/>
        <w:left w:val="none" w:sz="0" w:space="0" w:color="auto"/>
        <w:bottom w:val="none" w:sz="0" w:space="0" w:color="auto"/>
        <w:right w:val="none" w:sz="0" w:space="0" w:color="auto"/>
      </w:divBdr>
    </w:div>
    <w:div w:id="518665765">
      <w:bodyDiv w:val="1"/>
      <w:marLeft w:val="0"/>
      <w:marRight w:val="0"/>
      <w:marTop w:val="0"/>
      <w:marBottom w:val="0"/>
      <w:divBdr>
        <w:top w:val="none" w:sz="0" w:space="0" w:color="auto"/>
        <w:left w:val="none" w:sz="0" w:space="0" w:color="auto"/>
        <w:bottom w:val="none" w:sz="0" w:space="0" w:color="auto"/>
        <w:right w:val="none" w:sz="0" w:space="0" w:color="auto"/>
      </w:divBdr>
    </w:div>
    <w:div w:id="875240532">
      <w:bodyDiv w:val="1"/>
      <w:marLeft w:val="0"/>
      <w:marRight w:val="0"/>
      <w:marTop w:val="0"/>
      <w:marBottom w:val="0"/>
      <w:divBdr>
        <w:top w:val="none" w:sz="0" w:space="0" w:color="auto"/>
        <w:left w:val="none" w:sz="0" w:space="0" w:color="auto"/>
        <w:bottom w:val="none" w:sz="0" w:space="0" w:color="auto"/>
        <w:right w:val="none" w:sz="0" w:space="0" w:color="auto"/>
      </w:divBdr>
    </w:div>
    <w:div w:id="1393193495">
      <w:bodyDiv w:val="1"/>
      <w:marLeft w:val="0"/>
      <w:marRight w:val="0"/>
      <w:marTop w:val="0"/>
      <w:marBottom w:val="0"/>
      <w:divBdr>
        <w:top w:val="none" w:sz="0" w:space="0" w:color="auto"/>
        <w:left w:val="none" w:sz="0" w:space="0" w:color="auto"/>
        <w:bottom w:val="none" w:sz="0" w:space="0" w:color="auto"/>
        <w:right w:val="none" w:sz="0" w:space="0" w:color="auto"/>
      </w:divBdr>
    </w:div>
    <w:div w:id="1494443915">
      <w:bodyDiv w:val="1"/>
      <w:marLeft w:val="0"/>
      <w:marRight w:val="0"/>
      <w:marTop w:val="0"/>
      <w:marBottom w:val="0"/>
      <w:divBdr>
        <w:top w:val="none" w:sz="0" w:space="0" w:color="auto"/>
        <w:left w:val="none" w:sz="0" w:space="0" w:color="auto"/>
        <w:bottom w:val="none" w:sz="0" w:space="0" w:color="auto"/>
        <w:right w:val="none" w:sz="0" w:space="0" w:color="auto"/>
      </w:divBdr>
    </w:div>
    <w:div w:id="1595283490">
      <w:bodyDiv w:val="1"/>
      <w:marLeft w:val="0"/>
      <w:marRight w:val="0"/>
      <w:marTop w:val="0"/>
      <w:marBottom w:val="0"/>
      <w:divBdr>
        <w:top w:val="none" w:sz="0" w:space="0" w:color="auto"/>
        <w:left w:val="none" w:sz="0" w:space="0" w:color="auto"/>
        <w:bottom w:val="none" w:sz="0" w:space="0" w:color="auto"/>
        <w:right w:val="none" w:sz="0" w:space="0" w:color="auto"/>
      </w:divBdr>
    </w:div>
    <w:div w:id="1786657590">
      <w:bodyDiv w:val="1"/>
      <w:marLeft w:val="0"/>
      <w:marRight w:val="0"/>
      <w:marTop w:val="0"/>
      <w:marBottom w:val="0"/>
      <w:divBdr>
        <w:top w:val="none" w:sz="0" w:space="0" w:color="auto"/>
        <w:left w:val="none" w:sz="0" w:space="0" w:color="auto"/>
        <w:bottom w:val="none" w:sz="0" w:space="0" w:color="auto"/>
        <w:right w:val="none" w:sz="0" w:space="0" w:color="auto"/>
      </w:divBdr>
    </w:div>
    <w:div w:id="1963028235">
      <w:bodyDiv w:val="1"/>
      <w:marLeft w:val="0"/>
      <w:marRight w:val="0"/>
      <w:marTop w:val="0"/>
      <w:marBottom w:val="0"/>
      <w:divBdr>
        <w:top w:val="none" w:sz="0" w:space="0" w:color="auto"/>
        <w:left w:val="none" w:sz="0" w:space="0" w:color="auto"/>
        <w:bottom w:val="none" w:sz="0" w:space="0" w:color="auto"/>
        <w:right w:val="none" w:sz="0" w:space="0" w:color="auto"/>
      </w:divBdr>
    </w:div>
    <w:div w:id="2099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apetrei@admin.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in.ox.ac.uk/media/global/wwwadminoxacuk/localsites/finance/oxonly/documents/financialplanningandreporting/Year_End_Manual_July_2015_v1.0.pdf" TargetMode="External"/><Relationship Id="rId4" Type="http://schemas.openxmlformats.org/officeDocument/2006/relationships/settings" Target="settings.xml"/><Relationship Id="rId9" Type="http://schemas.openxmlformats.org/officeDocument/2006/relationships/hyperlink" Target="mailto:marius.apetrei@admin.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47975-228C-4CD6-9F50-26B961CD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13685</CharactersWithSpaces>
  <SharedDoc>false</SharedDoc>
  <HLinks>
    <vt:vector size="30" baseType="variant">
      <vt:variant>
        <vt:i4>7864347</vt:i4>
      </vt:variant>
      <vt:variant>
        <vt:i4>12</vt:i4>
      </vt:variant>
      <vt:variant>
        <vt:i4>0</vt:i4>
      </vt:variant>
      <vt:variant>
        <vt:i4>5</vt:i4>
      </vt:variant>
      <vt:variant>
        <vt:lpwstr>mailto:marius.apetrei@admin.ox.ac.uk</vt:lpwstr>
      </vt:variant>
      <vt:variant>
        <vt:lpwstr/>
      </vt:variant>
      <vt:variant>
        <vt:i4>6226039</vt:i4>
      </vt:variant>
      <vt:variant>
        <vt:i4>9</vt:i4>
      </vt:variant>
      <vt:variant>
        <vt:i4>0</vt:i4>
      </vt:variant>
      <vt:variant>
        <vt:i4>5</vt:i4>
      </vt:variant>
      <vt:variant>
        <vt:lpwstr>https://www.admin.ox.ac.uk/media/global/wwwadminoxacuk/localsites/finance/oxonly/documents/financialplanningandreporting/Year_End_Manual_July_2015_v1.0.pdf</vt:lpwstr>
      </vt:variant>
      <vt:variant>
        <vt:lpwstr/>
      </vt:variant>
      <vt:variant>
        <vt:i4>2949172</vt:i4>
      </vt:variant>
      <vt:variant>
        <vt:i4>6</vt:i4>
      </vt:variant>
      <vt:variant>
        <vt:i4>0</vt:i4>
      </vt:variant>
      <vt:variant>
        <vt:i4>5</vt:i4>
      </vt:variant>
      <vt:variant>
        <vt:lpwstr>http://www.admin.ox.ac.uk/finance/support/</vt:lpwstr>
      </vt:variant>
      <vt:variant>
        <vt:lpwstr/>
      </vt:variant>
      <vt:variant>
        <vt:i4>983048</vt:i4>
      </vt:variant>
      <vt:variant>
        <vt:i4>3</vt:i4>
      </vt:variant>
      <vt:variant>
        <vt:i4>0</vt:i4>
      </vt:variant>
      <vt:variant>
        <vt:i4>5</vt:i4>
      </vt:variant>
      <vt:variant>
        <vt:lpwstr>http://www.admin.ox.ac.uk/finance/news/supportupdate/</vt:lpwstr>
      </vt:variant>
      <vt:variant>
        <vt:lpwstr/>
      </vt:variant>
      <vt:variant>
        <vt:i4>7864347</vt:i4>
      </vt:variant>
      <vt:variant>
        <vt:i4>0</vt:i4>
      </vt:variant>
      <vt:variant>
        <vt:i4>0</vt:i4>
      </vt:variant>
      <vt:variant>
        <vt:i4>5</vt:i4>
      </vt:variant>
      <vt:variant>
        <vt:lpwstr>mailto:marius.apetrei@admin.ox.ac.uk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Kevin Davis</dc:creator>
  <cp:keywords/>
  <cp:lastModifiedBy>Alan Glaum</cp:lastModifiedBy>
  <cp:revision>2</cp:revision>
  <cp:lastPrinted>2012-05-29T10:14:00Z</cp:lastPrinted>
  <dcterms:created xsi:type="dcterms:W3CDTF">2022-06-30T14:17:00Z</dcterms:created>
  <dcterms:modified xsi:type="dcterms:W3CDTF">2022-06-30T14:17:00Z</dcterms:modified>
</cp:coreProperties>
</file>