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243841523"/>
        <w:docPartObj>
          <w:docPartGallery w:val="Cover Pages"/>
          <w:docPartUnique/>
        </w:docPartObj>
      </w:sdtPr>
      <w:sdtContent>
        <w:p w:rsidR="007775C3" w:rsidRDefault="007775C3">
          <w:r>
            <w:rPr>
              <w:noProof/>
              <w:lang w:eastAsia="en-GB"/>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87191D4"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9" o:title="" recolor="t" rotate="t" type="frame"/>
                    </v:rect>
                    <w10:wrap anchorx="page" anchory="page"/>
                  </v:group>
                </w:pict>
              </mc:Fallback>
            </mc:AlternateContent>
          </w:r>
        </w:p>
        <w:p w:rsidR="007775C3" w:rsidRDefault="004F2952">
          <w:r>
            <w:rPr>
              <w:noProof/>
              <w:lang w:eastAsia="en-GB"/>
            </w:rPr>
            <mc:AlternateContent>
              <mc:Choice Requires="wps">
                <w:drawing>
                  <wp:anchor distT="0" distB="0" distL="114300" distR="114300" simplePos="0" relativeHeight="251659264" behindDoc="0" locked="0" layoutInCell="1" allowOverlap="1">
                    <wp:simplePos x="0" y="0"/>
                    <wp:positionH relativeFrom="margin">
                      <wp:posOffset>-653415</wp:posOffset>
                    </wp:positionH>
                    <wp:positionV relativeFrom="page">
                      <wp:posOffset>1911985</wp:posOffset>
                    </wp:positionV>
                    <wp:extent cx="7315200" cy="3638550"/>
                    <wp:effectExtent l="0" t="0" r="0" b="508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0CCF" w:rsidRPr="005C6D36" w:rsidRDefault="00490CCF">
                                <w:pPr>
                                  <w:jc w:val="right"/>
                                  <w:rPr>
                                    <w:color w:val="5B9BD5" w:themeColor="accent1"/>
                                    <w:sz w:val="180"/>
                                    <w:szCs w:val="64"/>
                                  </w:rPr>
                                </w:pPr>
                                <w:sdt>
                                  <w:sdtPr>
                                    <w:rPr>
                                      <w:rFonts w:ascii="Trebuchet MS" w:hAnsi="Trebuchet MS"/>
                                      <w:color w:val="002B5F"/>
                                      <w:spacing w:val="7"/>
                                      <w:kern w:val="36"/>
                                      <w:sz w:val="56"/>
                                      <w:szCs w:val="3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Pr>
                                        <w:rFonts w:ascii="Trebuchet MS" w:hAnsi="Trebuchet MS"/>
                                        <w:color w:val="002B5F"/>
                                        <w:spacing w:val="7"/>
                                        <w:kern w:val="36"/>
                                        <w:sz w:val="56"/>
                                        <w:szCs w:val="36"/>
                                      </w:rPr>
                                      <w:t>Stock Provision, Write Off and Disposals Policy</w:t>
                                    </w:r>
                                  </w:sdtContent>
                                </w:sdt>
                              </w:p>
                              <w:sdt>
                                <w:sdtPr>
                                  <w:rPr>
                                    <w:sz w:val="40"/>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rsidR="00490CCF" w:rsidRPr="005C6D36" w:rsidRDefault="00490CCF">
                                    <w:pPr>
                                      <w:jc w:val="right"/>
                                      <w:rPr>
                                        <w:smallCaps/>
                                        <w:sz w:val="40"/>
                                        <w:szCs w:val="36"/>
                                      </w:rPr>
                                    </w:pPr>
                                    <w:r w:rsidRPr="005C6D36">
                                      <w:rPr>
                                        <w:sz w:val="40"/>
                                        <w:szCs w:val="36"/>
                                      </w:rPr>
                                      <w:t>University of Oxford</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id="_x0000_t202" coordsize="21600,21600" o:spt="202" path="m,l,21600r21600,l21600,xe">
                    <v:stroke joinstyle="miter"/>
                    <v:path gradientshapeok="t" o:connecttype="rect"/>
                  </v:shapetype>
                  <v:shape id="Text Box 154" o:spid="_x0000_s1026" type="#_x0000_t202" style="position:absolute;margin-left:-51.45pt;margin-top:150.55pt;width:8in;height:286.5pt;z-index:251659264;visibility:visible;mso-wrap-style:square;mso-width-percent:941;mso-height-percent:363;mso-wrap-distance-left:9pt;mso-wrap-distance-top:0;mso-wrap-distance-right:9pt;mso-wrap-distance-bottom:0;mso-position-horizontal:absolute;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ZbEgQIAAGIFAAAOAAAAZHJzL2Uyb0RvYy54bWysVE1vEzEQvSPxHyzf6SYNCVHUTRVaFSFV&#10;paJFPTteu1nh9RjbSTb8ep69u2kpXIq4eGdn3ozn443PztvGsJ3yoSZb8vHJiDNlJVW1fSz5t/ur&#10;d3POQhS2EoasKvlBBX6+fPvmbO8W6pQ2ZCrlGYLYsNi7km9idIuiCHKjGhFOyCkLoybfiIhf/1hU&#10;XuwRvTHF6Wg0K/bkK+dJqhCgveyMfJnja61k/KJ1UJGZkiO3mE+fz3U6i+WZWDx64Ta17NMQ/5BF&#10;I2qLS4+hLkUUbOvrP0I1tfQUSMcTSU1BWtdS5RpQzXj0opq7jXAq14LmBHdsU/h/YeXN7tazusLs&#10;pu85s6LBkO5VG9lHalnSoUN7FxYA3jlAYwsD0IM+QJkKb7Vv0hclMdjR68OxvymchPLDZDzF0DiT&#10;sE1mk/l0midQPLk7H+InRQ1LQsk9Bpj7KnbXISIVQAdIus3SVW1MHqKxbF/y2QQhf7PAw9ikUZkO&#10;fZhUUpd6luLBqIQx9qvSaEeuICkyEdWF8WwnQCEhpbIxF5/jAp1QGkm8xrHHP2X1GueujuFmsvHo&#10;3NSWfK7+RdrV9yFl3eHRyGd1JzG267Yf9ZqqAybtqduW4ORVjWlcixBvhcd6YIJY+fgFhzaErlMv&#10;cbYh//Nv+oQHa2HlbI91K3n4sRVecWY+W/B5PBuNMjVi/sUNPguz+XSeGLMe1HbbXBAmMca74mQW&#10;EziaQdSemgc8Cqt0IUzCSlxb8vUgXsRu//GoSLVaZRCW0Yl4be+cTKHTYBLN7tsH4V3PxQga39Cw&#10;k2LxgpIdNnlaWm0j6TrzNfW2a2jfcyxypnH/6KSX4vl/Rj09jctfAAAA//8DAFBLAwQUAAYACAAA&#10;ACEASY1FB+MAAAANAQAADwAAAGRycy9kb3ducmV2LnhtbEyPwU7CQBCG7ya+w2ZMvMFuAbHUTgkx&#10;8UI0QUC9Lt2xbezONt0Fqk/vctLbTObLP9+fLwfbihP1vnGMkIwVCOLSmYYrhP3uaZSC8EGz0a1j&#10;QvgmD8vi+irXmXFnfqXTNlQihrDPNEIdQpdJ6cuarPZj1xHH26frrQ5x7Stpen2O4baVE6Xm0uqG&#10;44dad/RYU/m1PVoE/75PNy936/Xq41n5zdv8Z5qaHeLtzbB6ABFoCH8wXPSjOhTR6eCObLxoEUaJ&#10;miwiizBVSQLigqjZIk4HhPR+loAscvm/RfELAAD//wMAUEsBAi0AFAAGAAgAAAAhALaDOJL+AAAA&#10;4QEAABMAAAAAAAAAAAAAAAAAAAAAAFtDb250ZW50X1R5cGVzXS54bWxQSwECLQAUAAYACAAAACEA&#10;OP0h/9YAAACUAQAACwAAAAAAAAAAAAAAAAAvAQAAX3JlbHMvLnJlbHNQSwECLQAUAAYACAAAACEA&#10;9BGWxIECAABiBQAADgAAAAAAAAAAAAAAAAAuAgAAZHJzL2Uyb0RvYy54bWxQSwECLQAUAAYACAAA&#10;ACEASY1FB+MAAAANAQAADwAAAAAAAAAAAAAAAADbBAAAZHJzL2Rvd25yZXYueG1sUEsFBgAAAAAE&#10;AAQA8wAAAOsFAAAAAA==&#10;" filled="f" stroked="f" strokeweight=".5pt">
                    <v:textbox inset="126pt,0,54pt,0">
                      <w:txbxContent>
                        <w:p w:rsidR="00490CCF" w:rsidRPr="005C6D36" w:rsidRDefault="00490CCF">
                          <w:pPr>
                            <w:jc w:val="right"/>
                            <w:rPr>
                              <w:color w:val="5B9BD5" w:themeColor="accent1"/>
                              <w:sz w:val="180"/>
                              <w:szCs w:val="64"/>
                            </w:rPr>
                          </w:pPr>
                          <w:sdt>
                            <w:sdtPr>
                              <w:rPr>
                                <w:rFonts w:ascii="Trebuchet MS" w:hAnsi="Trebuchet MS"/>
                                <w:color w:val="002B5F"/>
                                <w:spacing w:val="7"/>
                                <w:kern w:val="36"/>
                                <w:sz w:val="56"/>
                                <w:szCs w:val="3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Pr>
                                  <w:rFonts w:ascii="Trebuchet MS" w:hAnsi="Trebuchet MS"/>
                                  <w:color w:val="002B5F"/>
                                  <w:spacing w:val="7"/>
                                  <w:kern w:val="36"/>
                                  <w:sz w:val="56"/>
                                  <w:szCs w:val="36"/>
                                </w:rPr>
                                <w:t>Stock Provision, Write Off and Disposals Policy</w:t>
                              </w:r>
                            </w:sdtContent>
                          </w:sdt>
                        </w:p>
                        <w:sdt>
                          <w:sdtPr>
                            <w:rPr>
                              <w:sz w:val="40"/>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rsidR="00490CCF" w:rsidRPr="005C6D36" w:rsidRDefault="00490CCF">
                              <w:pPr>
                                <w:jc w:val="right"/>
                                <w:rPr>
                                  <w:smallCaps/>
                                  <w:sz w:val="40"/>
                                  <w:szCs w:val="36"/>
                                </w:rPr>
                              </w:pPr>
                              <w:r w:rsidRPr="005C6D36">
                                <w:rPr>
                                  <w:sz w:val="40"/>
                                  <w:szCs w:val="36"/>
                                </w:rPr>
                                <w:t>University of Oxford</w:t>
                              </w:r>
                            </w:p>
                          </w:sdtContent>
                        </w:sdt>
                      </w:txbxContent>
                    </v:textbox>
                    <w10:wrap type="square" anchorx="margin" anchory="page"/>
                  </v:shape>
                </w:pict>
              </mc:Fallback>
            </mc:AlternateContent>
          </w:r>
          <w:r>
            <w:rPr>
              <w:noProof/>
              <w:lang w:eastAsia="en-GB"/>
            </w:rPr>
            <mc:AlternateContent>
              <mc:Choice Requires="wps">
                <w:drawing>
                  <wp:anchor distT="45720" distB="45720" distL="114300" distR="114300" simplePos="0" relativeHeight="251664384" behindDoc="0" locked="0" layoutInCell="1" allowOverlap="1">
                    <wp:simplePos x="0" y="0"/>
                    <wp:positionH relativeFrom="margin">
                      <wp:posOffset>3676650</wp:posOffset>
                    </wp:positionH>
                    <wp:positionV relativeFrom="paragraph">
                      <wp:posOffset>7350760</wp:posOffset>
                    </wp:positionV>
                    <wp:extent cx="28003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404620"/>
                            </a:xfrm>
                            <a:prstGeom prst="rect">
                              <a:avLst/>
                            </a:prstGeom>
                            <a:solidFill>
                              <a:srgbClr val="FFFFFF"/>
                            </a:solidFill>
                            <a:ln w="9525">
                              <a:noFill/>
                              <a:miter lim="800000"/>
                              <a:headEnd/>
                              <a:tailEnd/>
                            </a:ln>
                          </wps:spPr>
                          <wps:txbx>
                            <w:txbxContent>
                              <w:p w:rsidR="00490CCF" w:rsidRPr="004F2952" w:rsidRDefault="00490CCF" w:rsidP="004F2952">
                                <w:pPr>
                                  <w:jc w:val="right"/>
                                  <w:rPr>
                                    <w:color w:val="BFBFBF" w:themeColor="background1" w:themeShade="BF"/>
                                  </w:rPr>
                                </w:pPr>
                                <w:r w:rsidRPr="004F2952">
                                  <w:rPr>
                                    <w:color w:val="BFBFBF" w:themeColor="background1" w:themeShade="BF"/>
                                  </w:rPr>
                                  <w:t>Date: 19</w:t>
                                </w:r>
                                <w:r w:rsidRPr="004F2952">
                                  <w:rPr>
                                    <w:color w:val="BFBFBF" w:themeColor="background1" w:themeShade="BF"/>
                                    <w:vertAlign w:val="superscript"/>
                                  </w:rPr>
                                  <w:t>th</w:t>
                                </w:r>
                                <w:r w:rsidRPr="004F2952">
                                  <w:rPr>
                                    <w:color w:val="BFBFBF" w:themeColor="background1" w:themeShade="BF"/>
                                  </w:rPr>
                                  <w:t xml:space="preserve"> March 2019</w:t>
                                </w:r>
                                <w:r w:rsidRPr="004F2952">
                                  <w:rPr>
                                    <w:color w:val="BFBFBF" w:themeColor="background1" w:themeShade="BF"/>
                                  </w:rPr>
                                  <w:br/>
                                  <w:t>Version: v3.0</w:t>
                                </w:r>
                                <w:r w:rsidRPr="004F2952">
                                  <w:rPr>
                                    <w:color w:val="BFBFBF" w:themeColor="background1" w:themeShade="BF"/>
                                  </w:rPr>
                                  <w:br/>
                                  <w:t>Status: Approved</w:t>
                                </w:r>
                              </w:p>
                              <w:p w:rsidR="00490CCF" w:rsidRPr="004F2952" w:rsidRDefault="00490CCF" w:rsidP="004F2952">
                                <w:pPr>
                                  <w:jc w:val="right"/>
                                  <w:rPr>
                                    <w:color w:val="BFBFBF" w:themeColor="background1" w:themeShade="BF"/>
                                  </w:rPr>
                                </w:pPr>
                                <w:r w:rsidRPr="004F2952">
                                  <w:rPr>
                                    <w:color w:val="BFBFBF" w:themeColor="background1" w:themeShade="BF"/>
                                  </w:rPr>
                                  <w:t>Author: Louise Stratton</w:t>
                                </w:r>
                                <w:r w:rsidRPr="004F2952">
                                  <w:rPr>
                                    <w:color w:val="BFBFBF" w:themeColor="background1" w:themeShade="BF"/>
                                  </w:rPr>
                                  <w:br/>
                                  <w:t>Document Owner: Lindsay Pearson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289.5pt;margin-top:578.8pt;width:220.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QgIgIAACUEAAAOAAAAZHJzL2Uyb0RvYy54bWysU9tuGyEQfa/Uf0C813upncvK6yh16qpS&#10;epGSfgDLsl5UYChg77pf34F1HCt9i8IDAmY4nDlzWN6MWpG9cF6CqWkxyykRhkMrzbamvx43H64o&#10;8YGZlikwoqYH4enN6v275WArUUIPqhWOIIjx1WBr2odgqyzzvBea+RlYYTDYgdMs4NZts9axAdG1&#10;yso8v8gGcK11wIX3eHo3Bekq4Xed4OFH13kRiKopcgtpdmlu4pytlqzaOmZ7yY802CtYaCYNPnqC&#10;umOBkZ2T/0FpyR146MKMg86g6yQXqQaspshfVPPQMytSLSiOtyeZ/NvB8u/7n47ItqZlcUmJYRqb&#10;9CjGQD7BSMqoz2B9hWkPFhPDiMfY51Srt/fAf3tiYN0zsxW3zsHQC9YivyLezM6uTjg+gjTDN2jx&#10;GbYLkIDGzukoHspBEB37dDj1JlLheFhe5fnHBYY4xop5Pr8oU/cyVj1dt86HLwI0iYuaOmx+gmf7&#10;ex8iHVY9pcTXPCjZbqRSaeO2zVo5smdolE0aqYIXacqQoabXi3KRkA3E+8lDWgY0spK6psgUx2St&#10;KMdn06aUwKSa1shEmaM+UZJJnDA2Y2pFEi9q10B7QMEcTL7Ff4aLHtxfSgb0bE39nx1zghL11aDo&#10;18V8Hk2eNvPFJSpE3HmkOY8wwxGqpoGSabkO6WMkOewtNmcjk2zPTI6U0YtJzeO/iWY/36es59+9&#10;+gcAAP//AwBQSwMEFAAGAAgAAAAhAPNUk8DhAAAADgEAAA8AAABkcnMvZG93bnJldi54bWxMj8FO&#10;wzAQRO9I/IO1SNyoU1CaNI1TVVRcOCBRkODoxk4cEa8t203D37M90duuZjTzpt7OdmSTDnFwKGC5&#10;yIBpbJ0asBfw+fHyUAKLSaKSo0Mt4FdH2Da3N7WslDvju54OqWcUgrGSAkxKvuI8tkZbGRfOaySt&#10;c8HKRG/ouQryTOF25I9ZtuJWDkgNRnr9bHT7czhZAV/WDGof3r47NU77126X+zl4Ie7v5t0GWNJz&#10;+jfDBZ/QoSGmozuhimwUkBdr2pJIWObFCtjFklElsCNdT0VZAm9qfj2j+QMAAP//AwBQSwECLQAU&#10;AAYACAAAACEAtoM4kv4AAADhAQAAEwAAAAAAAAAAAAAAAAAAAAAAW0NvbnRlbnRfVHlwZXNdLnht&#10;bFBLAQItABQABgAIAAAAIQA4/SH/1gAAAJQBAAALAAAAAAAAAAAAAAAAAC8BAABfcmVscy8ucmVs&#10;c1BLAQItABQABgAIAAAAIQDvURQgIgIAACUEAAAOAAAAAAAAAAAAAAAAAC4CAABkcnMvZTJvRG9j&#10;LnhtbFBLAQItABQABgAIAAAAIQDzVJPA4QAAAA4BAAAPAAAAAAAAAAAAAAAAAHwEAABkcnMvZG93&#10;bnJldi54bWxQSwUGAAAAAAQABADzAAAAigUAAAAA&#10;" stroked="f">
                    <v:textbox style="mso-fit-shape-to-text:t">
                      <w:txbxContent>
                        <w:p w:rsidR="00490CCF" w:rsidRPr="004F2952" w:rsidRDefault="00490CCF" w:rsidP="004F2952">
                          <w:pPr>
                            <w:jc w:val="right"/>
                            <w:rPr>
                              <w:color w:val="BFBFBF" w:themeColor="background1" w:themeShade="BF"/>
                            </w:rPr>
                          </w:pPr>
                          <w:r w:rsidRPr="004F2952">
                            <w:rPr>
                              <w:color w:val="BFBFBF" w:themeColor="background1" w:themeShade="BF"/>
                            </w:rPr>
                            <w:t>Date: 19</w:t>
                          </w:r>
                          <w:r w:rsidRPr="004F2952">
                            <w:rPr>
                              <w:color w:val="BFBFBF" w:themeColor="background1" w:themeShade="BF"/>
                              <w:vertAlign w:val="superscript"/>
                            </w:rPr>
                            <w:t>th</w:t>
                          </w:r>
                          <w:r w:rsidRPr="004F2952">
                            <w:rPr>
                              <w:color w:val="BFBFBF" w:themeColor="background1" w:themeShade="BF"/>
                            </w:rPr>
                            <w:t xml:space="preserve"> March 2019</w:t>
                          </w:r>
                          <w:r w:rsidRPr="004F2952">
                            <w:rPr>
                              <w:color w:val="BFBFBF" w:themeColor="background1" w:themeShade="BF"/>
                            </w:rPr>
                            <w:br/>
                            <w:t>Version: v3.0</w:t>
                          </w:r>
                          <w:r w:rsidRPr="004F2952">
                            <w:rPr>
                              <w:color w:val="BFBFBF" w:themeColor="background1" w:themeShade="BF"/>
                            </w:rPr>
                            <w:br/>
                            <w:t>Status: Approved</w:t>
                          </w:r>
                        </w:p>
                        <w:p w:rsidR="00490CCF" w:rsidRPr="004F2952" w:rsidRDefault="00490CCF" w:rsidP="004F2952">
                          <w:pPr>
                            <w:jc w:val="right"/>
                            <w:rPr>
                              <w:color w:val="BFBFBF" w:themeColor="background1" w:themeShade="BF"/>
                            </w:rPr>
                          </w:pPr>
                          <w:r w:rsidRPr="004F2952">
                            <w:rPr>
                              <w:color w:val="BFBFBF" w:themeColor="background1" w:themeShade="BF"/>
                            </w:rPr>
                            <w:t>Author: Louise Stratton</w:t>
                          </w:r>
                          <w:r w:rsidRPr="004F2952">
                            <w:rPr>
                              <w:color w:val="BFBFBF" w:themeColor="background1" w:themeShade="BF"/>
                            </w:rPr>
                            <w:br/>
                            <w:t>Document Owner: Lindsay Pearson</w:t>
                          </w:r>
                        </w:p>
                      </w:txbxContent>
                    </v:textbox>
                    <w10:wrap type="square" anchorx="margin"/>
                  </v:shape>
                </w:pict>
              </mc:Fallback>
            </mc:AlternateContent>
          </w:r>
          <w:r w:rsidR="007775C3">
            <w:br w:type="page"/>
          </w:r>
        </w:p>
      </w:sdtContent>
    </w:sdt>
    <w:sdt>
      <w:sdtPr>
        <w:rPr>
          <w:rFonts w:asciiTheme="minorHAnsi" w:eastAsiaTheme="minorHAnsi" w:hAnsiTheme="minorHAnsi" w:cstheme="minorBidi"/>
          <w:color w:val="auto"/>
          <w:sz w:val="22"/>
          <w:szCs w:val="22"/>
          <w:lang w:val="en-GB"/>
        </w:rPr>
        <w:id w:val="2113927485"/>
        <w:docPartObj>
          <w:docPartGallery w:val="Table of Contents"/>
          <w:docPartUnique/>
        </w:docPartObj>
      </w:sdtPr>
      <w:sdtEndPr>
        <w:rPr>
          <w:b/>
          <w:bCs/>
          <w:noProof/>
        </w:rPr>
      </w:sdtEndPr>
      <w:sdtContent>
        <w:p w:rsidR="00D70F7D" w:rsidRPr="007803DF" w:rsidRDefault="00D70F7D">
          <w:pPr>
            <w:pStyle w:val="TOCHeading"/>
            <w:rPr>
              <w:rFonts w:ascii="Trebuchet MS" w:eastAsiaTheme="minorHAnsi" w:hAnsi="Trebuchet MS" w:cstheme="minorBidi"/>
              <w:color w:val="002B5F"/>
              <w:spacing w:val="7"/>
              <w:kern w:val="36"/>
              <w:sz w:val="56"/>
              <w:szCs w:val="36"/>
              <w:lang w:val="en-GB"/>
            </w:rPr>
          </w:pPr>
          <w:r w:rsidRPr="007803DF">
            <w:rPr>
              <w:rFonts w:ascii="Trebuchet MS" w:eastAsiaTheme="minorHAnsi" w:hAnsi="Trebuchet MS" w:cstheme="minorBidi"/>
              <w:color w:val="002B5F"/>
              <w:spacing w:val="7"/>
              <w:kern w:val="36"/>
              <w:sz w:val="56"/>
              <w:szCs w:val="36"/>
              <w:lang w:val="en-GB"/>
            </w:rPr>
            <w:t>Contents</w:t>
          </w:r>
        </w:p>
        <w:p w:rsidR="00CC5FB0" w:rsidRPr="00CC5FB0" w:rsidRDefault="00CC5FB0" w:rsidP="00CC5FB0"/>
        <w:p w:rsidR="004D3E3E" w:rsidRDefault="00D70F7D">
          <w:pPr>
            <w:pStyle w:val="TOC1"/>
            <w:rPr>
              <w:rFonts w:eastAsiaTheme="minorEastAsia"/>
              <w:noProof/>
              <w:lang w:eastAsia="en-GB"/>
            </w:rPr>
          </w:pPr>
          <w:r>
            <w:fldChar w:fldCharType="begin"/>
          </w:r>
          <w:r>
            <w:instrText xml:space="preserve"> TOC \o "1-3" \h \z \u </w:instrText>
          </w:r>
          <w:r>
            <w:fldChar w:fldCharType="separate"/>
          </w:r>
          <w:hyperlink w:anchor="_Toc3885316" w:history="1">
            <w:r w:rsidR="004D3E3E" w:rsidRPr="000D669A">
              <w:rPr>
                <w:rStyle w:val="Hyperlink"/>
                <w:rFonts w:ascii="Trebuchet MS" w:hAnsi="Trebuchet MS"/>
                <w:noProof/>
              </w:rPr>
              <w:t>1.</w:t>
            </w:r>
            <w:r w:rsidR="004D3E3E">
              <w:rPr>
                <w:rFonts w:eastAsiaTheme="minorEastAsia"/>
                <w:noProof/>
                <w:lang w:eastAsia="en-GB"/>
              </w:rPr>
              <w:tab/>
            </w:r>
            <w:r w:rsidR="004D3E3E" w:rsidRPr="000D669A">
              <w:rPr>
                <w:rStyle w:val="Hyperlink"/>
                <w:rFonts w:ascii="Trebuchet MS" w:hAnsi="Trebuchet MS"/>
                <w:noProof/>
              </w:rPr>
              <w:t>Purpose</w:t>
            </w:r>
            <w:r w:rsidR="004D3E3E">
              <w:rPr>
                <w:noProof/>
                <w:webHidden/>
              </w:rPr>
              <w:tab/>
            </w:r>
            <w:r w:rsidR="004D3E3E">
              <w:rPr>
                <w:noProof/>
                <w:webHidden/>
              </w:rPr>
              <w:fldChar w:fldCharType="begin"/>
            </w:r>
            <w:r w:rsidR="004D3E3E">
              <w:rPr>
                <w:noProof/>
                <w:webHidden/>
              </w:rPr>
              <w:instrText xml:space="preserve"> PAGEREF _Toc3885316 \h </w:instrText>
            </w:r>
            <w:r w:rsidR="004D3E3E">
              <w:rPr>
                <w:noProof/>
                <w:webHidden/>
              </w:rPr>
            </w:r>
            <w:r w:rsidR="004D3E3E">
              <w:rPr>
                <w:noProof/>
                <w:webHidden/>
              </w:rPr>
              <w:fldChar w:fldCharType="separate"/>
            </w:r>
            <w:r w:rsidR="004D3E3E">
              <w:rPr>
                <w:noProof/>
                <w:webHidden/>
              </w:rPr>
              <w:t>2</w:t>
            </w:r>
            <w:r w:rsidR="004D3E3E">
              <w:rPr>
                <w:noProof/>
                <w:webHidden/>
              </w:rPr>
              <w:fldChar w:fldCharType="end"/>
            </w:r>
          </w:hyperlink>
        </w:p>
        <w:p w:rsidR="004D3E3E" w:rsidRDefault="004D3E3E">
          <w:pPr>
            <w:pStyle w:val="TOC1"/>
            <w:rPr>
              <w:rFonts w:eastAsiaTheme="minorEastAsia"/>
              <w:noProof/>
              <w:lang w:eastAsia="en-GB"/>
            </w:rPr>
          </w:pPr>
          <w:hyperlink w:anchor="_Toc3885317" w:history="1">
            <w:r w:rsidRPr="000D669A">
              <w:rPr>
                <w:rStyle w:val="Hyperlink"/>
                <w:rFonts w:ascii="Trebuchet MS" w:hAnsi="Trebuchet MS"/>
                <w:noProof/>
              </w:rPr>
              <w:t>2.</w:t>
            </w:r>
            <w:r>
              <w:rPr>
                <w:rFonts w:eastAsiaTheme="minorEastAsia"/>
                <w:noProof/>
                <w:lang w:eastAsia="en-GB"/>
              </w:rPr>
              <w:tab/>
            </w:r>
            <w:r w:rsidRPr="000D669A">
              <w:rPr>
                <w:rStyle w:val="Hyperlink"/>
                <w:rFonts w:ascii="Trebuchet MS" w:hAnsi="Trebuchet MS"/>
                <w:noProof/>
              </w:rPr>
              <w:t>Background</w:t>
            </w:r>
            <w:r>
              <w:rPr>
                <w:noProof/>
                <w:webHidden/>
              </w:rPr>
              <w:tab/>
            </w:r>
            <w:r>
              <w:rPr>
                <w:noProof/>
                <w:webHidden/>
              </w:rPr>
              <w:fldChar w:fldCharType="begin"/>
            </w:r>
            <w:r>
              <w:rPr>
                <w:noProof/>
                <w:webHidden/>
              </w:rPr>
              <w:instrText xml:space="preserve"> PAGEREF _Toc3885317 \h </w:instrText>
            </w:r>
            <w:r>
              <w:rPr>
                <w:noProof/>
                <w:webHidden/>
              </w:rPr>
            </w:r>
            <w:r>
              <w:rPr>
                <w:noProof/>
                <w:webHidden/>
              </w:rPr>
              <w:fldChar w:fldCharType="separate"/>
            </w:r>
            <w:r>
              <w:rPr>
                <w:noProof/>
                <w:webHidden/>
              </w:rPr>
              <w:t>2</w:t>
            </w:r>
            <w:r>
              <w:rPr>
                <w:noProof/>
                <w:webHidden/>
              </w:rPr>
              <w:fldChar w:fldCharType="end"/>
            </w:r>
          </w:hyperlink>
        </w:p>
        <w:p w:rsidR="004D3E3E" w:rsidRDefault="004D3E3E">
          <w:pPr>
            <w:pStyle w:val="TOC1"/>
            <w:rPr>
              <w:rFonts w:eastAsiaTheme="minorEastAsia"/>
              <w:noProof/>
              <w:lang w:eastAsia="en-GB"/>
            </w:rPr>
          </w:pPr>
          <w:hyperlink w:anchor="_Toc3885318" w:history="1">
            <w:r w:rsidRPr="000D669A">
              <w:rPr>
                <w:rStyle w:val="Hyperlink"/>
                <w:rFonts w:ascii="Trebuchet MS" w:hAnsi="Trebuchet MS"/>
                <w:noProof/>
              </w:rPr>
              <w:t>3.</w:t>
            </w:r>
            <w:r>
              <w:rPr>
                <w:rFonts w:eastAsiaTheme="minorEastAsia"/>
                <w:noProof/>
                <w:lang w:eastAsia="en-GB"/>
              </w:rPr>
              <w:tab/>
            </w:r>
            <w:r w:rsidRPr="000D669A">
              <w:rPr>
                <w:rStyle w:val="Hyperlink"/>
                <w:rFonts w:ascii="Trebuchet MS" w:hAnsi="Trebuchet MS"/>
                <w:noProof/>
              </w:rPr>
              <w:t>Regulatory framework and responsibilities</w:t>
            </w:r>
            <w:r>
              <w:rPr>
                <w:noProof/>
                <w:webHidden/>
              </w:rPr>
              <w:tab/>
            </w:r>
            <w:r>
              <w:rPr>
                <w:noProof/>
                <w:webHidden/>
              </w:rPr>
              <w:fldChar w:fldCharType="begin"/>
            </w:r>
            <w:r>
              <w:rPr>
                <w:noProof/>
                <w:webHidden/>
              </w:rPr>
              <w:instrText xml:space="preserve"> PAGEREF _Toc3885318 \h </w:instrText>
            </w:r>
            <w:r>
              <w:rPr>
                <w:noProof/>
                <w:webHidden/>
              </w:rPr>
            </w:r>
            <w:r>
              <w:rPr>
                <w:noProof/>
                <w:webHidden/>
              </w:rPr>
              <w:fldChar w:fldCharType="separate"/>
            </w:r>
            <w:r>
              <w:rPr>
                <w:noProof/>
                <w:webHidden/>
              </w:rPr>
              <w:t>2</w:t>
            </w:r>
            <w:r>
              <w:rPr>
                <w:noProof/>
                <w:webHidden/>
              </w:rPr>
              <w:fldChar w:fldCharType="end"/>
            </w:r>
          </w:hyperlink>
        </w:p>
        <w:p w:rsidR="004D3E3E" w:rsidRDefault="004D3E3E">
          <w:pPr>
            <w:pStyle w:val="TOC1"/>
            <w:rPr>
              <w:rFonts w:eastAsiaTheme="minorEastAsia"/>
              <w:noProof/>
              <w:lang w:eastAsia="en-GB"/>
            </w:rPr>
          </w:pPr>
          <w:hyperlink w:anchor="_Toc3885319" w:history="1">
            <w:r w:rsidRPr="000D669A">
              <w:rPr>
                <w:rStyle w:val="Hyperlink"/>
                <w:rFonts w:ascii="Trebuchet MS" w:hAnsi="Trebuchet MS"/>
                <w:noProof/>
              </w:rPr>
              <w:t>4.</w:t>
            </w:r>
            <w:r>
              <w:rPr>
                <w:rFonts w:eastAsiaTheme="minorEastAsia"/>
                <w:noProof/>
                <w:lang w:eastAsia="en-GB"/>
              </w:rPr>
              <w:tab/>
            </w:r>
            <w:r w:rsidRPr="000D669A">
              <w:rPr>
                <w:rStyle w:val="Hyperlink"/>
                <w:rFonts w:ascii="Trebuchet MS" w:hAnsi="Trebuchet MS"/>
                <w:noProof/>
              </w:rPr>
              <w:t>Current financial regulations</w:t>
            </w:r>
            <w:r>
              <w:rPr>
                <w:noProof/>
                <w:webHidden/>
              </w:rPr>
              <w:tab/>
            </w:r>
            <w:r>
              <w:rPr>
                <w:noProof/>
                <w:webHidden/>
              </w:rPr>
              <w:fldChar w:fldCharType="begin"/>
            </w:r>
            <w:r>
              <w:rPr>
                <w:noProof/>
                <w:webHidden/>
              </w:rPr>
              <w:instrText xml:space="preserve"> PAGEREF _Toc3885319 \h </w:instrText>
            </w:r>
            <w:r>
              <w:rPr>
                <w:noProof/>
                <w:webHidden/>
              </w:rPr>
            </w:r>
            <w:r>
              <w:rPr>
                <w:noProof/>
                <w:webHidden/>
              </w:rPr>
              <w:fldChar w:fldCharType="separate"/>
            </w:r>
            <w:r>
              <w:rPr>
                <w:noProof/>
                <w:webHidden/>
              </w:rPr>
              <w:t>3</w:t>
            </w:r>
            <w:r>
              <w:rPr>
                <w:noProof/>
                <w:webHidden/>
              </w:rPr>
              <w:fldChar w:fldCharType="end"/>
            </w:r>
          </w:hyperlink>
        </w:p>
        <w:p w:rsidR="004D3E3E" w:rsidRDefault="004D3E3E">
          <w:pPr>
            <w:pStyle w:val="TOC1"/>
            <w:rPr>
              <w:rFonts w:eastAsiaTheme="minorEastAsia"/>
              <w:noProof/>
              <w:lang w:eastAsia="en-GB"/>
            </w:rPr>
          </w:pPr>
          <w:hyperlink w:anchor="_Toc3885320" w:history="1">
            <w:r w:rsidRPr="000D669A">
              <w:rPr>
                <w:rStyle w:val="Hyperlink"/>
                <w:rFonts w:ascii="Trebuchet MS" w:hAnsi="Trebuchet MS"/>
                <w:noProof/>
              </w:rPr>
              <w:t>5.</w:t>
            </w:r>
            <w:r>
              <w:rPr>
                <w:rFonts w:eastAsiaTheme="minorEastAsia"/>
                <w:noProof/>
                <w:lang w:eastAsia="en-GB"/>
              </w:rPr>
              <w:tab/>
            </w:r>
            <w:r w:rsidRPr="000D669A">
              <w:rPr>
                <w:rStyle w:val="Hyperlink"/>
                <w:rFonts w:ascii="Trebuchet MS" w:hAnsi="Trebuchet MS"/>
                <w:noProof/>
              </w:rPr>
              <w:t>Authorisation policy</w:t>
            </w:r>
            <w:r>
              <w:rPr>
                <w:noProof/>
                <w:webHidden/>
              </w:rPr>
              <w:tab/>
            </w:r>
            <w:r>
              <w:rPr>
                <w:noProof/>
                <w:webHidden/>
              </w:rPr>
              <w:fldChar w:fldCharType="begin"/>
            </w:r>
            <w:r>
              <w:rPr>
                <w:noProof/>
                <w:webHidden/>
              </w:rPr>
              <w:instrText xml:space="preserve"> PAGEREF _Toc3885320 \h </w:instrText>
            </w:r>
            <w:r>
              <w:rPr>
                <w:noProof/>
                <w:webHidden/>
              </w:rPr>
            </w:r>
            <w:r>
              <w:rPr>
                <w:noProof/>
                <w:webHidden/>
              </w:rPr>
              <w:fldChar w:fldCharType="separate"/>
            </w:r>
            <w:r>
              <w:rPr>
                <w:noProof/>
                <w:webHidden/>
              </w:rPr>
              <w:t>3</w:t>
            </w:r>
            <w:r>
              <w:rPr>
                <w:noProof/>
                <w:webHidden/>
              </w:rPr>
              <w:fldChar w:fldCharType="end"/>
            </w:r>
          </w:hyperlink>
        </w:p>
        <w:p w:rsidR="004D3E3E" w:rsidRDefault="004D3E3E">
          <w:pPr>
            <w:pStyle w:val="TOC1"/>
            <w:rPr>
              <w:rFonts w:eastAsiaTheme="minorEastAsia"/>
              <w:noProof/>
              <w:lang w:eastAsia="en-GB"/>
            </w:rPr>
          </w:pPr>
          <w:hyperlink w:anchor="_Toc3885321" w:history="1">
            <w:r w:rsidRPr="000D669A">
              <w:rPr>
                <w:rStyle w:val="Hyperlink"/>
                <w:rFonts w:ascii="Trebuchet MS" w:hAnsi="Trebuchet MS"/>
                <w:noProof/>
              </w:rPr>
              <w:t>6.</w:t>
            </w:r>
            <w:r>
              <w:rPr>
                <w:rFonts w:eastAsiaTheme="minorEastAsia"/>
                <w:noProof/>
                <w:lang w:eastAsia="en-GB"/>
              </w:rPr>
              <w:tab/>
            </w:r>
            <w:r w:rsidRPr="000D669A">
              <w:rPr>
                <w:rStyle w:val="Hyperlink"/>
                <w:rFonts w:ascii="Trebuchet MS" w:hAnsi="Trebuchet MS"/>
                <w:noProof/>
              </w:rPr>
              <w:t>Stock provision</w:t>
            </w:r>
            <w:r>
              <w:rPr>
                <w:noProof/>
                <w:webHidden/>
              </w:rPr>
              <w:tab/>
            </w:r>
            <w:r>
              <w:rPr>
                <w:noProof/>
                <w:webHidden/>
              </w:rPr>
              <w:fldChar w:fldCharType="begin"/>
            </w:r>
            <w:r>
              <w:rPr>
                <w:noProof/>
                <w:webHidden/>
              </w:rPr>
              <w:instrText xml:space="preserve"> PAGEREF _Toc3885321 \h </w:instrText>
            </w:r>
            <w:r>
              <w:rPr>
                <w:noProof/>
                <w:webHidden/>
              </w:rPr>
            </w:r>
            <w:r>
              <w:rPr>
                <w:noProof/>
                <w:webHidden/>
              </w:rPr>
              <w:fldChar w:fldCharType="separate"/>
            </w:r>
            <w:r>
              <w:rPr>
                <w:noProof/>
                <w:webHidden/>
              </w:rPr>
              <w:t>3</w:t>
            </w:r>
            <w:r>
              <w:rPr>
                <w:noProof/>
                <w:webHidden/>
              </w:rPr>
              <w:fldChar w:fldCharType="end"/>
            </w:r>
          </w:hyperlink>
        </w:p>
        <w:p w:rsidR="004D3E3E" w:rsidRDefault="004D3E3E">
          <w:pPr>
            <w:pStyle w:val="TOC1"/>
            <w:rPr>
              <w:rFonts w:eastAsiaTheme="minorEastAsia"/>
              <w:noProof/>
              <w:lang w:eastAsia="en-GB"/>
            </w:rPr>
          </w:pPr>
          <w:hyperlink w:anchor="_Toc3885322" w:history="1">
            <w:r w:rsidRPr="000D669A">
              <w:rPr>
                <w:rStyle w:val="Hyperlink"/>
                <w:rFonts w:ascii="Trebuchet MS" w:hAnsi="Trebuchet MS"/>
                <w:noProof/>
              </w:rPr>
              <w:t>7.</w:t>
            </w:r>
            <w:r>
              <w:rPr>
                <w:rFonts w:eastAsiaTheme="minorEastAsia"/>
                <w:noProof/>
                <w:lang w:eastAsia="en-GB"/>
              </w:rPr>
              <w:tab/>
            </w:r>
            <w:r w:rsidRPr="000D669A">
              <w:rPr>
                <w:rStyle w:val="Hyperlink"/>
                <w:rFonts w:ascii="Trebuchet MS" w:hAnsi="Trebuchet MS"/>
                <w:noProof/>
              </w:rPr>
              <w:t>Stock write off</w:t>
            </w:r>
            <w:r>
              <w:rPr>
                <w:noProof/>
                <w:webHidden/>
              </w:rPr>
              <w:tab/>
            </w:r>
            <w:r>
              <w:rPr>
                <w:noProof/>
                <w:webHidden/>
              </w:rPr>
              <w:fldChar w:fldCharType="begin"/>
            </w:r>
            <w:r>
              <w:rPr>
                <w:noProof/>
                <w:webHidden/>
              </w:rPr>
              <w:instrText xml:space="preserve"> PAGEREF _Toc3885322 \h </w:instrText>
            </w:r>
            <w:r>
              <w:rPr>
                <w:noProof/>
                <w:webHidden/>
              </w:rPr>
            </w:r>
            <w:r>
              <w:rPr>
                <w:noProof/>
                <w:webHidden/>
              </w:rPr>
              <w:fldChar w:fldCharType="separate"/>
            </w:r>
            <w:r>
              <w:rPr>
                <w:noProof/>
                <w:webHidden/>
              </w:rPr>
              <w:t>4</w:t>
            </w:r>
            <w:r>
              <w:rPr>
                <w:noProof/>
                <w:webHidden/>
              </w:rPr>
              <w:fldChar w:fldCharType="end"/>
            </w:r>
          </w:hyperlink>
        </w:p>
        <w:p w:rsidR="004D3E3E" w:rsidRDefault="004D3E3E">
          <w:pPr>
            <w:pStyle w:val="TOC1"/>
            <w:rPr>
              <w:rFonts w:eastAsiaTheme="minorEastAsia"/>
              <w:noProof/>
              <w:lang w:eastAsia="en-GB"/>
            </w:rPr>
          </w:pPr>
          <w:hyperlink w:anchor="_Toc3885323" w:history="1">
            <w:r w:rsidRPr="000D669A">
              <w:rPr>
                <w:rStyle w:val="Hyperlink"/>
                <w:rFonts w:ascii="Trebuchet MS" w:hAnsi="Trebuchet MS"/>
                <w:noProof/>
              </w:rPr>
              <w:t>8.</w:t>
            </w:r>
            <w:r>
              <w:rPr>
                <w:rFonts w:eastAsiaTheme="minorEastAsia"/>
                <w:noProof/>
                <w:lang w:eastAsia="en-GB"/>
              </w:rPr>
              <w:tab/>
            </w:r>
            <w:r w:rsidRPr="000D669A">
              <w:rPr>
                <w:rStyle w:val="Hyperlink"/>
                <w:rFonts w:ascii="Trebuchet MS" w:hAnsi="Trebuchet MS"/>
                <w:noProof/>
              </w:rPr>
              <w:t>Disposal of stock</w:t>
            </w:r>
            <w:r>
              <w:rPr>
                <w:noProof/>
                <w:webHidden/>
              </w:rPr>
              <w:tab/>
            </w:r>
            <w:r>
              <w:rPr>
                <w:noProof/>
                <w:webHidden/>
              </w:rPr>
              <w:fldChar w:fldCharType="begin"/>
            </w:r>
            <w:r>
              <w:rPr>
                <w:noProof/>
                <w:webHidden/>
              </w:rPr>
              <w:instrText xml:space="preserve"> PAGEREF _Toc3885323 \h </w:instrText>
            </w:r>
            <w:r>
              <w:rPr>
                <w:noProof/>
                <w:webHidden/>
              </w:rPr>
            </w:r>
            <w:r>
              <w:rPr>
                <w:noProof/>
                <w:webHidden/>
              </w:rPr>
              <w:fldChar w:fldCharType="separate"/>
            </w:r>
            <w:r>
              <w:rPr>
                <w:noProof/>
                <w:webHidden/>
              </w:rPr>
              <w:t>4</w:t>
            </w:r>
            <w:r>
              <w:rPr>
                <w:noProof/>
                <w:webHidden/>
              </w:rPr>
              <w:fldChar w:fldCharType="end"/>
            </w:r>
          </w:hyperlink>
        </w:p>
        <w:p w:rsidR="004D3E3E" w:rsidRDefault="004D3E3E">
          <w:pPr>
            <w:pStyle w:val="TOC1"/>
            <w:rPr>
              <w:rFonts w:eastAsiaTheme="minorEastAsia"/>
              <w:noProof/>
              <w:lang w:eastAsia="en-GB"/>
            </w:rPr>
          </w:pPr>
          <w:hyperlink w:anchor="_Toc3885324" w:history="1">
            <w:r w:rsidRPr="000D669A">
              <w:rPr>
                <w:rStyle w:val="Hyperlink"/>
                <w:rFonts w:ascii="Trebuchet MS" w:hAnsi="Trebuchet MS"/>
                <w:noProof/>
              </w:rPr>
              <w:t>9.</w:t>
            </w:r>
            <w:r>
              <w:rPr>
                <w:rFonts w:eastAsiaTheme="minorEastAsia"/>
                <w:noProof/>
                <w:lang w:eastAsia="en-GB"/>
              </w:rPr>
              <w:tab/>
            </w:r>
            <w:r w:rsidRPr="000D669A">
              <w:rPr>
                <w:rStyle w:val="Hyperlink"/>
                <w:rFonts w:ascii="Trebuchet MS" w:hAnsi="Trebuchet MS"/>
                <w:noProof/>
              </w:rPr>
              <w:t>References</w:t>
            </w:r>
            <w:r>
              <w:rPr>
                <w:noProof/>
                <w:webHidden/>
              </w:rPr>
              <w:tab/>
            </w:r>
            <w:r>
              <w:rPr>
                <w:noProof/>
                <w:webHidden/>
              </w:rPr>
              <w:fldChar w:fldCharType="begin"/>
            </w:r>
            <w:r>
              <w:rPr>
                <w:noProof/>
                <w:webHidden/>
              </w:rPr>
              <w:instrText xml:space="preserve"> PAGEREF _Toc3885324 \h </w:instrText>
            </w:r>
            <w:r>
              <w:rPr>
                <w:noProof/>
                <w:webHidden/>
              </w:rPr>
            </w:r>
            <w:r>
              <w:rPr>
                <w:noProof/>
                <w:webHidden/>
              </w:rPr>
              <w:fldChar w:fldCharType="separate"/>
            </w:r>
            <w:r>
              <w:rPr>
                <w:noProof/>
                <w:webHidden/>
              </w:rPr>
              <w:t>5</w:t>
            </w:r>
            <w:r>
              <w:rPr>
                <w:noProof/>
                <w:webHidden/>
              </w:rPr>
              <w:fldChar w:fldCharType="end"/>
            </w:r>
          </w:hyperlink>
        </w:p>
        <w:p w:rsidR="004D3E3E" w:rsidRDefault="004D3E3E">
          <w:pPr>
            <w:pStyle w:val="TOC1"/>
            <w:rPr>
              <w:rFonts w:eastAsiaTheme="minorEastAsia"/>
              <w:noProof/>
              <w:lang w:eastAsia="en-GB"/>
            </w:rPr>
          </w:pPr>
          <w:hyperlink w:anchor="_Toc3885325" w:history="1">
            <w:r w:rsidRPr="000D669A">
              <w:rPr>
                <w:rStyle w:val="Hyperlink"/>
                <w:rFonts w:ascii="Trebuchet MS" w:hAnsi="Trebuchet MS"/>
                <w:noProof/>
              </w:rPr>
              <w:t>10.</w:t>
            </w:r>
            <w:r>
              <w:rPr>
                <w:rFonts w:eastAsiaTheme="minorEastAsia"/>
                <w:noProof/>
                <w:lang w:eastAsia="en-GB"/>
              </w:rPr>
              <w:tab/>
            </w:r>
            <w:r w:rsidRPr="000D669A">
              <w:rPr>
                <w:rStyle w:val="Hyperlink"/>
                <w:rFonts w:ascii="Trebuchet MS" w:hAnsi="Trebuchet MS"/>
                <w:noProof/>
              </w:rPr>
              <w:t>Appendix 1</w:t>
            </w:r>
            <w:r>
              <w:rPr>
                <w:noProof/>
                <w:webHidden/>
              </w:rPr>
              <w:tab/>
            </w:r>
            <w:r>
              <w:rPr>
                <w:noProof/>
                <w:webHidden/>
              </w:rPr>
              <w:fldChar w:fldCharType="begin"/>
            </w:r>
            <w:r>
              <w:rPr>
                <w:noProof/>
                <w:webHidden/>
              </w:rPr>
              <w:instrText xml:space="preserve"> PAGEREF _Toc3885325 \h </w:instrText>
            </w:r>
            <w:r>
              <w:rPr>
                <w:noProof/>
                <w:webHidden/>
              </w:rPr>
            </w:r>
            <w:r>
              <w:rPr>
                <w:noProof/>
                <w:webHidden/>
              </w:rPr>
              <w:fldChar w:fldCharType="separate"/>
            </w:r>
            <w:r>
              <w:rPr>
                <w:noProof/>
                <w:webHidden/>
              </w:rPr>
              <w:t>6</w:t>
            </w:r>
            <w:r>
              <w:rPr>
                <w:noProof/>
                <w:webHidden/>
              </w:rPr>
              <w:fldChar w:fldCharType="end"/>
            </w:r>
          </w:hyperlink>
        </w:p>
        <w:p w:rsidR="00D70F7D" w:rsidRDefault="00D70F7D">
          <w:r>
            <w:rPr>
              <w:b/>
              <w:bCs/>
              <w:noProof/>
            </w:rPr>
            <w:fldChar w:fldCharType="end"/>
          </w:r>
        </w:p>
      </w:sdtContent>
    </w:sdt>
    <w:p w:rsidR="007775C3" w:rsidRDefault="007775C3">
      <w:r>
        <w:br w:type="page"/>
      </w:r>
    </w:p>
    <w:p w:rsidR="004F2952" w:rsidRPr="004F2952" w:rsidRDefault="004F2952" w:rsidP="004F2952">
      <w:pPr>
        <w:pStyle w:val="Heading1"/>
        <w:numPr>
          <w:ilvl w:val="0"/>
          <w:numId w:val="4"/>
        </w:numPr>
        <w:spacing w:before="0"/>
        <w:jc w:val="both"/>
        <w:rPr>
          <w:rFonts w:ascii="Trebuchet MS" w:hAnsi="Trebuchet MS"/>
          <w:sz w:val="36"/>
        </w:rPr>
      </w:pPr>
      <w:bookmarkStart w:id="0" w:name="_Toc3885316"/>
      <w:r>
        <w:rPr>
          <w:rFonts w:ascii="Trebuchet MS" w:hAnsi="Trebuchet MS"/>
          <w:sz w:val="36"/>
        </w:rPr>
        <w:lastRenderedPageBreak/>
        <w:t>Purpose</w:t>
      </w:r>
      <w:bookmarkEnd w:id="0"/>
    </w:p>
    <w:p w:rsidR="009714D2" w:rsidRDefault="009714D2" w:rsidP="004D3E3E">
      <w:pPr>
        <w:pStyle w:val="Heading2"/>
        <w:spacing w:before="0"/>
        <w:jc w:val="both"/>
        <w:rPr>
          <w:rFonts w:ascii="Trebuchet MS" w:hAnsi="Trebuchet MS"/>
          <w:sz w:val="32"/>
        </w:rPr>
      </w:pPr>
      <w:bookmarkStart w:id="1" w:name="_Toc3882857"/>
      <w:bookmarkEnd w:id="1"/>
    </w:p>
    <w:p w:rsidR="005D6F85" w:rsidRPr="004D3E3E" w:rsidRDefault="004D3E3E" w:rsidP="005D6F85">
      <w:pPr>
        <w:spacing w:after="0"/>
        <w:jc w:val="both"/>
        <w:rPr>
          <w:rFonts w:eastAsiaTheme="majorEastAsia" w:cstheme="majorBidi"/>
        </w:rPr>
      </w:pPr>
      <w:r w:rsidRPr="004D3E3E">
        <w:t>1.1</w:t>
      </w:r>
      <w:r w:rsidRPr="004D3E3E">
        <w:tab/>
      </w:r>
      <w:r w:rsidR="00A464C1" w:rsidRPr="004D3E3E">
        <w:rPr>
          <w:rFonts w:eastAsiaTheme="majorEastAsia" w:cstheme="majorBidi"/>
        </w:rPr>
        <w:t>This document sets out the policy to be implemented by departmental inventory holders to safeguard the proper use of the University’s finances and resources, including those of its subsidiary companies, against over-inflated or inaccurate stock valuations recorded in the University’s accounts and to ensure compliance with the law and relevant regulations.</w:t>
      </w:r>
    </w:p>
    <w:p w:rsidR="005D6F85" w:rsidRPr="00ED5157" w:rsidRDefault="005D6F85" w:rsidP="005D6F85">
      <w:pPr>
        <w:spacing w:after="0"/>
        <w:jc w:val="both"/>
        <w:rPr>
          <w:rFonts w:ascii="Verdana" w:eastAsiaTheme="majorEastAsia" w:hAnsi="Verdana" w:cstheme="majorBidi"/>
        </w:rPr>
      </w:pPr>
    </w:p>
    <w:p w:rsidR="005D6F85" w:rsidRPr="00ED5157" w:rsidRDefault="005D6F85" w:rsidP="005D6F85">
      <w:pPr>
        <w:spacing w:after="0"/>
        <w:jc w:val="both"/>
        <w:rPr>
          <w:rFonts w:ascii="Verdana" w:eastAsiaTheme="majorEastAsia" w:hAnsi="Verdana" w:cstheme="majorBidi"/>
        </w:rPr>
      </w:pPr>
    </w:p>
    <w:p w:rsidR="003A45FB" w:rsidRDefault="007775C3" w:rsidP="005D6F85">
      <w:pPr>
        <w:pStyle w:val="Heading1"/>
        <w:numPr>
          <w:ilvl w:val="0"/>
          <w:numId w:val="4"/>
        </w:numPr>
        <w:spacing w:before="0"/>
        <w:jc w:val="both"/>
        <w:rPr>
          <w:rFonts w:ascii="Trebuchet MS" w:hAnsi="Trebuchet MS"/>
          <w:sz w:val="36"/>
        </w:rPr>
      </w:pPr>
      <w:bookmarkStart w:id="2" w:name="_Toc3885317"/>
      <w:r w:rsidRPr="00CC5FB0">
        <w:rPr>
          <w:rFonts w:ascii="Trebuchet MS" w:hAnsi="Trebuchet MS"/>
          <w:sz w:val="36"/>
        </w:rPr>
        <w:t>B</w:t>
      </w:r>
      <w:r w:rsidR="00A464C1">
        <w:rPr>
          <w:rFonts w:ascii="Trebuchet MS" w:hAnsi="Trebuchet MS"/>
          <w:sz w:val="36"/>
        </w:rPr>
        <w:t>ackground</w:t>
      </w:r>
      <w:bookmarkEnd w:id="2"/>
    </w:p>
    <w:p w:rsidR="007775C3" w:rsidRPr="004D3E3E" w:rsidRDefault="00A464C1" w:rsidP="004D3E3E">
      <w:r>
        <w:br/>
      </w:r>
      <w:r w:rsidR="004D3E3E" w:rsidRPr="004D3E3E">
        <w:t>2.1</w:t>
      </w:r>
      <w:r w:rsidR="004D3E3E" w:rsidRPr="004D3E3E">
        <w:tab/>
      </w:r>
      <w:r w:rsidRPr="004D3E3E">
        <w:t>The University holds a significant amount of inventory stock and each individual inventory holding department has a responsibility to manage risk and economic benefit by ensuring optimal stock holdings are held to support operations.</w:t>
      </w:r>
    </w:p>
    <w:p w:rsidR="005D6F85" w:rsidRPr="004D3E3E" w:rsidRDefault="005D6F85" w:rsidP="005D6F85">
      <w:pPr>
        <w:spacing w:after="0"/>
        <w:jc w:val="both"/>
        <w:rPr>
          <w:rFonts w:eastAsiaTheme="majorEastAsia" w:cstheme="majorBidi"/>
        </w:rPr>
      </w:pPr>
    </w:p>
    <w:p w:rsidR="005D6F85" w:rsidRPr="004D3E3E" w:rsidRDefault="004D3E3E" w:rsidP="005D6F85">
      <w:pPr>
        <w:spacing w:after="0"/>
        <w:jc w:val="both"/>
        <w:rPr>
          <w:rFonts w:eastAsiaTheme="majorEastAsia" w:cstheme="majorBidi"/>
        </w:rPr>
      </w:pPr>
      <w:r w:rsidRPr="004D3E3E">
        <w:t>2.2</w:t>
      </w:r>
      <w:r w:rsidRPr="004D3E3E">
        <w:tab/>
      </w:r>
      <w:r w:rsidR="00A464C1" w:rsidRPr="004D3E3E">
        <w:rPr>
          <w:rFonts w:eastAsiaTheme="majorEastAsia" w:cstheme="majorBidi"/>
        </w:rPr>
        <w:t xml:space="preserve">This policy for dealing with the provision for stock write off and disposal, forms part of the University’s internal control and corporate governance arrangements.  </w:t>
      </w:r>
    </w:p>
    <w:p w:rsidR="00A464C1" w:rsidRDefault="00A464C1" w:rsidP="005D6F85">
      <w:pPr>
        <w:spacing w:after="0"/>
        <w:jc w:val="both"/>
        <w:rPr>
          <w:rFonts w:ascii="Verdana" w:eastAsiaTheme="majorEastAsia" w:hAnsi="Verdana" w:cstheme="majorBidi"/>
        </w:rPr>
      </w:pPr>
    </w:p>
    <w:p w:rsidR="00A464C1" w:rsidRDefault="00A464C1" w:rsidP="005D6F85">
      <w:pPr>
        <w:spacing w:after="0"/>
        <w:jc w:val="both"/>
        <w:rPr>
          <w:rFonts w:ascii="Verdana" w:eastAsiaTheme="majorEastAsia" w:hAnsi="Verdana" w:cstheme="majorBidi"/>
        </w:rPr>
      </w:pPr>
    </w:p>
    <w:p w:rsidR="00A464C1" w:rsidRDefault="004D3E3E" w:rsidP="00A464C1">
      <w:pPr>
        <w:pStyle w:val="Heading1"/>
        <w:numPr>
          <w:ilvl w:val="0"/>
          <w:numId w:val="4"/>
        </w:numPr>
        <w:spacing w:before="0"/>
        <w:jc w:val="both"/>
        <w:rPr>
          <w:rFonts w:ascii="Trebuchet MS" w:hAnsi="Trebuchet MS"/>
          <w:sz w:val="36"/>
        </w:rPr>
      </w:pPr>
      <w:bookmarkStart w:id="3" w:name="_Toc3885318"/>
      <w:r>
        <w:rPr>
          <w:rFonts w:ascii="Trebuchet MS" w:hAnsi="Trebuchet MS"/>
          <w:sz w:val="36"/>
        </w:rPr>
        <w:t>Regulatory framework and responsibilities</w:t>
      </w:r>
      <w:bookmarkEnd w:id="3"/>
    </w:p>
    <w:p w:rsidR="00A464C1" w:rsidRDefault="00A464C1" w:rsidP="00A464C1"/>
    <w:p w:rsidR="00A464C1" w:rsidRPr="004D3E3E" w:rsidRDefault="00A464C1" w:rsidP="00A464C1">
      <w:r w:rsidRPr="004D3E3E">
        <w:t>3.1</w:t>
      </w:r>
      <w:r w:rsidRPr="004D3E3E">
        <w:tab/>
        <w:t>The Council has a statutory responsibility for the proper control of the finances of the University. Accordingly it has approved Financial Regulations to ensure the proper use of finances and resources in a manner, which satisfies the University's requirements for accountability, internal control, and the management of financial risk; and also fulfils any legal or financial obligations laid down by HM Revenue &amp; Customs, the Office for Students and Research England,</w:t>
      </w:r>
      <w:r w:rsidR="00490CCF">
        <w:t xml:space="preserve"> and other government agencies.</w:t>
      </w:r>
    </w:p>
    <w:p w:rsidR="00A464C1" w:rsidRDefault="00304972" w:rsidP="00A464C1">
      <w:r>
        <w:br/>
      </w:r>
      <w:r w:rsidR="00A464C1" w:rsidRPr="004D3E3E">
        <w:t>3.2</w:t>
      </w:r>
      <w:r w:rsidR="00A464C1" w:rsidRPr="004D3E3E">
        <w:tab/>
        <w:t>Compliance with the Financial Regulations is a requirement for all employees and officers of the University, irrespective of whether their appointment is financed by general University funds, research grants and contracts, or trust or other funds; and for all those neither directly employed by nor officers of the University who have responsibility for the administration or management of University funds.</w:t>
      </w:r>
      <w:r w:rsidR="004D3E3E">
        <w:br/>
      </w:r>
    </w:p>
    <w:p w:rsidR="00A464C1" w:rsidRPr="004D3E3E" w:rsidRDefault="004D3E3E" w:rsidP="00A464C1">
      <w:r w:rsidRPr="004D3E3E">
        <w:t>3.3</w:t>
      </w:r>
      <w:r w:rsidRPr="004D3E3E">
        <w:tab/>
      </w:r>
      <w:r w:rsidR="00A464C1" w:rsidRPr="004D3E3E">
        <w:t xml:space="preserve">The policy has been informed by FRS 102 (The financial reporting standard applicable in the UK). If there is uncertainty about the existence of stock, the net realisable value of the stock is less than the cost, or there are concerns that the stock will not be sold, then a stock provision should be set up. There are various methods that can be applied to help calculate the stock provision. It is recommended that calculations are based on predetermined criteria to produce the provisions to reduce stock from cost to net realisable value and for those calculations to take account of, as appropriate, the following circumstances of the stock: </w:t>
      </w:r>
    </w:p>
    <w:p w:rsidR="00A464C1" w:rsidRPr="004D3E3E" w:rsidRDefault="00A464C1" w:rsidP="004D3E3E">
      <w:pPr>
        <w:pStyle w:val="ListParagraph"/>
        <w:numPr>
          <w:ilvl w:val="0"/>
          <w:numId w:val="39"/>
        </w:numPr>
      </w:pPr>
      <w:r w:rsidRPr="004D3E3E">
        <w:t>Age</w:t>
      </w:r>
    </w:p>
    <w:p w:rsidR="00A464C1" w:rsidRPr="004D3E3E" w:rsidRDefault="00A464C1" w:rsidP="004D3E3E">
      <w:pPr>
        <w:pStyle w:val="ListParagraph"/>
        <w:numPr>
          <w:ilvl w:val="0"/>
          <w:numId w:val="39"/>
        </w:numPr>
      </w:pPr>
      <w:r w:rsidRPr="004D3E3E">
        <w:t>Movements during the last year</w:t>
      </w:r>
    </w:p>
    <w:p w:rsidR="00A464C1" w:rsidRPr="004D3E3E" w:rsidRDefault="00A464C1" w:rsidP="004D3E3E">
      <w:pPr>
        <w:pStyle w:val="ListParagraph"/>
        <w:numPr>
          <w:ilvl w:val="0"/>
          <w:numId w:val="39"/>
        </w:numPr>
      </w:pPr>
      <w:r w:rsidRPr="004D3E3E">
        <w:t>Expected future movements</w:t>
      </w:r>
    </w:p>
    <w:p w:rsidR="00A464C1" w:rsidRPr="00A464C1" w:rsidRDefault="00A464C1" w:rsidP="00A464C1">
      <w:pPr>
        <w:pStyle w:val="ListParagraph"/>
        <w:numPr>
          <w:ilvl w:val="0"/>
          <w:numId w:val="39"/>
        </w:numPr>
      </w:pPr>
      <w:r w:rsidRPr="004D3E3E">
        <w:t>Estimated scrap values</w:t>
      </w:r>
    </w:p>
    <w:p w:rsidR="00A464C1" w:rsidRDefault="004D3E3E" w:rsidP="00A464C1">
      <w:pPr>
        <w:pStyle w:val="Heading1"/>
        <w:numPr>
          <w:ilvl w:val="0"/>
          <w:numId w:val="4"/>
        </w:numPr>
        <w:spacing w:before="0"/>
        <w:jc w:val="both"/>
        <w:rPr>
          <w:rFonts w:ascii="Trebuchet MS" w:hAnsi="Trebuchet MS"/>
          <w:sz w:val="36"/>
        </w:rPr>
      </w:pPr>
      <w:bookmarkStart w:id="4" w:name="_Toc3885319"/>
      <w:r>
        <w:rPr>
          <w:rFonts w:ascii="Trebuchet MS" w:hAnsi="Trebuchet MS"/>
          <w:sz w:val="36"/>
        </w:rPr>
        <w:t>Current financial regulations</w:t>
      </w:r>
      <w:bookmarkEnd w:id="4"/>
    </w:p>
    <w:p w:rsidR="004D3E3E" w:rsidRDefault="004D3E3E" w:rsidP="004D3E3E"/>
    <w:p w:rsidR="004D3E3E" w:rsidRPr="004D3E3E" w:rsidRDefault="004D3E3E" w:rsidP="004D3E3E">
      <w:r w:rsidRPr="004D3E3E">
        <w:t>4.1</w:t>
      </w:r>
      <w:r w:rsidRPr="004D3E3E">
        <w:tab/>
        <w:t>Heads of Units are responsible for compliance with the Financial Procedures for the management of stock, and for ensuring that stocks are adequately protected against loss or misuse, which therefore must be considered when stock disposal is undertaken. A Head of Unit may authorise the writing off of stock in his or her Budgetary Unit.</w:t>
      </w:r>
    </w:p>
    <w:p w:rsidR="004D3E3E" w:rsidRPr="004D3E3E" w:rsidRDefault="004D3E3E" w:rsidP="004D3E3E"/>
    <w:p w:rsidR="00A464C1" w:rsidRDefault="004D3E3E" w:rsidP="00A464C1">
      <w:pPr>
        <w:pStyle w:val="Heading1"/>
        <w:numPr>
          <w:ilvl w:val="0"/>
          <w:numId w:val="4"/>
        </w:numPr>
        <w:spacing w:before="0"/>
        <w:jc w:val="both"/>
        <w:rPr>
          <w:rFonts w:ascii="Trebuchet MS" w:hAnsi="Trebuchet MS"/>
          <w:sz w:val="36"/>
        </w:rPr>
      </w:pPr>
      <w:bookmarkStart w:id="5" w:name="_Toc3885320"/>
      <w:r>
        <w:rPr>
          <w:rFonts w:ascii="Trebuchet MS" w:hAnsi="Trebuchet MS"/>
          <w:sz w:val="36"/>
        </w:rPr>
        <w:t>Authorisation policy</w:t>
      </w:r>
      <w:bookmarkEnd w:id="5"/>
    </w:p>
    <w:p w:rsidR="004D3E3E" w:rsidRDefault="004D3E3E" w:rsidP="004D3E3E"/>
    <w:p w:rsidR="004D3E3E" w:rsidRPr="004D3E3E" w:rsidRDefault="004D3E3E" w:rsidP="004D3E3E">
      <w:r w:rsidRPr="004D3E3E">
        <w:t xml:space="preserve">5.1 </w:t>
      </w:r>
      <w:r w:rsidRPr="004D3E3E">
        <w:tab/>
        <w:t>The policy for authorising the provision and write off of stock is: -</w:t>
      </w:r>
    </w:p>
    <w:p w:rsidR="004D3E3E" w:rsidRPr="004D3E3E" w:rsidRDefault="004D3E3E" w:rsidP="004D3E3E"/>
    <w:p w:rsidR="004D3E3E" w:rsidRPr="004D3E3E" w:rsidRDefault="004D3E3E" w:rsidP="004D3E3E">
      <w:pPr>
        <w:pStyle w:val="ListParagraph"/>
        <w:numPr>
          <w:ilvl w:val="0"/>
          <w:numId w:val="37"/>
        </w:numPr>
      </w:pPr>
      <w:r w:rsidRPr="004D3E3E">
        <w:t>Up to £1k – Approved member of Staff (i.e. Administrator)</w:t>
      </w:r>
    </w:p>
    <w:p w:rsidR="004D3E3E" w:rsidRPr="004D3E3E" w:rsidRDefault="004D3E3E" w:rsidP="004D3E3E">
      <w:pPr>
        <w:pStyle w:val="ListParagraph"/>
        <w:numPr>
          <w:ilvl w:val="0"/>
          <w:numId w:val="37"/>
        </w:numPr>
      </w:pPr>
      <w:r w:rsidRPr="004D3E3E">
        <w:t>Up to £50k – Head of Department</w:t>
      </w:r>
    </w:p>
    <w:p w:rsidR="004D3E3E" w:rsidRPr="004D3E3E" w:rsidRDefault="004D3E3E" w:rsidP="004D3E3E">
      <w:pPr>
        <w:pStyle w:val="ListParagraph"/>
        <w:numPr>
          <w:ilvl w:val="0"/>
          <w:numId w:val="37"/>
        </w:numPr>
      </w:pPr>
      <w:r w:rsidRPr="004D3E3E">
        <w:t>Over £50k – Divisional Financial Controller</w:t>
      </w:r>
    </w:p>
    <w:p w:rsidR="004D3E3E" w:rsidRPr="004D3E3E" w:rsidRDefault="004D3E3E" w:rsidP="004D3E3E">
      <w:pPr>
        <w:pStyle w:val="ListParagraph"/>
      </w:pPr>
    </w:p>
    <w:p w:rsidR="00A464C1" w:rsidRDefault="004D3E3E" w:rsidP="00A464C1">
      <w:pPr>
        <w:pStyle w:val="Heading1"/>
        <w:numPr>
          <w:ilvl w:val="0"/>
          <w:numId w:val="4"/>
        </w:numPr>
        <w:spacing w:before="0"/>
        <w:jc w:val="both"/>
        <w:rPr>
          <w:rFonts w:ascii="Trebuchet MS" w:hAnsi="Trebuchet MS"/>
          <w:sz w:val="36"/>
        </w:rPr>
      </w:pPr>
      <w:bookmarkStart w:id="6" w:name="_Toc3885321"/>
      <w:r>
        <w:rPr>
          <w:rFonts w:ascii="Trebuchet MS" w:hAnsi="Trebuchet MS"/>
          <w:sz w:val="36"/>
        </w:rPr>
        <w:t>Stock provision</w:t>
      </w:r>
      <w:bookmarkEnd w:id="6"/>
    </w:p>
    <w:p w:rsidR="004D3E3E" w:rsidRDefault="004D3E3E" w:rsidP="004D3E3E"/>
    <w:p w:rsidR="004D3E3E" w:rsidRPr="004D3E3E" w:rsidRDefault="004D3E3E" w:rsidP="004D3E3E">
      <w:r w:rsidRPr="004D3E3E">
        <w:t xml:space="preserve">6.1 </w:t>
      </w:r>
      <w:r w:rsidRPr="004D3E3E">
        <w:tab/>
        <w:t>A provision should be made at the end of each financial year to provide for excessive loss in the value of stock held, likely to be incurred in the coming year, through obsolescence, damage, expired shelf life, or lack of histori</w:t>
      </w:r>
      <w:r>
        <w:t>c and future expected movement.</w:t>
      </w:r>
      <w:r>
        <w:br/>
      </w:r>
    </w:p>
    <w:p w:rsidR="004D3E3E" w:rsidRPr="004D3E3E" w:rsidRDefault="004D3E3E" w:rsidP="004D3E3E">
      <w:r w:rsidRPr="004D3E3E">
        <w:t>6.2</w:t>
      </w:r>
      <w:r w:rsidRPr="004D3E3E">
        <w:tab/>
        <w:t>Three factors that need to be considered when an inventory department calculates their provision for the year are:</w:t>
      </w:r>
    </w:p>
    <w:p w:rsidR="004D3E3E" w:rsidRPr="004D3E3E" w:rsidRDefault="004D3E3E" w:rsidP="004D3E3E">
      <w:pPr>
        <w:pStyle w:val="ListParagraph"/>
        <w:numPr>
          <w:ilvl w:val="0"/>
          <w:numId w:val="40"/>
        </w:numPr>
      </w:pPr>
      <w:r w:rsidRPr="004D3E3E">
        <w:t>Any stock older than 12 months</w:t>
      </w:r>
    </w:p>
    <w:p w:rsidR="004D3E3E" w:rsidRPr="004D3E3E" w:rsidRDefault="004D3E3E" w:rsidP="004D3E3E">
      <w:pPr>
        <w:pStyle w:val="ListParagraph"/>
        <w:numPr>
          <w:ilvl w:val="0"/>
          <w:numId w:val="40"/>
        </w:numPr>
      </w:pPr>
      <w:r w:rsidRPr="004D3E3E">
        <w:t>Any stock with no movement over the last 12-month period</w:t>
      </w:r>
    </w:p>
    <w:p w:rsidR="004D3E3E" w:rsidRPr="004D3E3E" w:rsidRDefault="004D3E3E" w:rsidP="004D3E3E">
      <w:pPr>
        <w:pStyle w:val="ListParagraph"/>
        <w:numPr>
          <w:ilvl w:val="0"/>
          <w:numId w:val="40"/>
        </w:numPr>
      </w:pPr>
      <w:r w:rsidRPr="004D3E3E">
        <w:t>Any stock known to be obsolete or with an expired shelf life</w:t>
      </w:r>
    </w:p>
    <w:p w:rsidR="004D3E3E" w:rsidRPr="004D3E3E" w:rsidRDefault="004D3E3E" w:rsidP="004D3E3E"/>
    <w:p w:rsidR="004D3E3E" w:rsidRPr="004D3E3E" w:rsidRDefault="004D3E3E" w:rsidP="004D3E3E">
      <w:pPr>
        <w:rPr>
          <w:rFonts w:ascii="Verdana" w:hAnsi="Verdana"/>
        </w:rPr>
      </w:pPr>
      <w:r w:rsidRPr="004D3E3E">
        <w:t>6.3</w:t>
      </w:r>
      <w:r w:rsidRPr="004D3E3E">
        <w:tab/>
        <w:t>These figures are intended as an initial calculation to work from and not a definitive answer. It will still be necessary for the results to be reviewed by the Store Supervisor, Administrator, and ultimately by the Head of Department, if material, in the light of any special circumstances which cannot be anticipated in</w:t>
      </w:r>
      <w:r w:rsidRPr="004D3E3E">
        <w:rPr>
          <w:rFonts w:ascii="Verdana" w:hAnsi="Verdana"/>
        </w:rPr>
        <w:t xml:space="preserve"> </w:t>
      </w:r>
      <w:r w:rsidRPr="004D3E3E">
        <w:t>the formulae, such as slow moving items that still sell at a profit, for example jewellery and pottery sold in trading departments.</w:t>
      </w:r>
    </w:p>
    <w:p w:rsidR="004D3E3E" w:rsidRPr="004D3E3E" w:rsidRDefault="004D3E3E" w:rsidP="004D3E3E">
      <w:pPr>
        <w:rPr>
          <w:rFonts w:ascii="Verdana" w:hAnsi="Verdana"/>
        </w:rPr>
      </w:pPr>
    </w:p>
    <w:p w:rsidR="004D3E3E" w:rsidRPr="004D3E3E" w:rsidRDefault="004D3E3E" w:rsidP="004D3E3E">
      <w:r w:rsidRPr="004D3E3E">
        <w:t>6.4</w:t>
      </w:r>
      <w:r w:rsidRPr="004D3E3E">
        <w:tab/>
        <w:t>Some departments will carry stock that does not fall into the normal stock lines and will cause exceptions to the use of the above formulae, such as publications – see Appendix 1. In these instances the basic principles and financial authority remain the same, only the method of calculation changes. Departments should be aware of the distinction between the policy for calculating stock provisions, writing off the stock and the disposal of stock. There may not necessarily be a requirement to dispose of stock at year-end when there is a provision for it or it is been written off, please refer to section 6.1 for further guidance on this point.</w:t>
      </w:r>
    </w:p>
    <w:p w:rsidR="004D3E3E" w:rsidRPr="004D3E3E" w:rsidRDefault="004D3E3E" w:rsidP="004D3E3E"/>
    <w:p w:rsidR="004D3E3E" w:rsidRPr="004D3E3E" w:rsidRDefault="004D3E3E" w:rsidP="004D3E3E">
      <w:r w:rsidRPr="004D3E3E">
        <w:t>6.5</w:t>
      </w:r>
      <w:r w:rsidRPr="004D3E3E">
        <w:tab/>
        <w:t>The Process Owner should be forwarded details of this provision as a courtesy, to record for future reference and for auditing purposes.</w:t>
      </w:r>
    </w:p>
    <w:p w:rsidR="004D3E3E" w:rsidRPr="004D3E3E" w:rsidRDefault="004D3E3E" w:rsidP="004D3E3E"/>
    <w:p w:rsidR="00A464C1" w:rsidRDefault="004D3E3E" w:rsidP="00A464C1">
      <w:pPr>
        <w:pStyle w:val="Heading1"/>
        <w:numPr>
          <w:ilvl w:val="0"/>
          <w:numId w:val="4"/>
        </w:numPr>
        <w:spacing w:before="0"/>
        <w:jc w:val="both"/>
        <w:rPr>
          <w:rFonts w:ascii="Trebuchet MS" w:hAnsi="Trebuchet MS"/>
          <w:sz w:val="36"/>
        </w:rPr>
      </w:pPr>
      <w:bookmarkStart w:id="7" w:name="_Toc3885322"/>
      <w:r>
        <w:rPr>
          <w:rFonts w:ascii="Trebuchet MS" w:hAnsi="Trebuchet MS"/>
          <w:sz w:val="36"/>
        </w:rPr>
        <w:t>Stock write off</w:t>
      </w:r>
      <w:bookmarkEnd w:id="7"/>
    </w:p>
    <w:p w:rsidR="004D3E3E" w:rsidRDefault="004D3E3E" w:rsidP="004D3E3E"/>
    <w:p w:rsidR="004D3E3E" w:rsidRDefault="004D3E3E" w:rsidP="004D3E3E">
      <w:r>
        <w:t>7.1</w:t>
      </w:r>
      <w:r>
        <w:tab/>
        <w:t xml:space="preserve">The same calculations that were made for the provision should also be made for the write off, with the same reviews made for special circumstances. In addition to this a decision has to be made whether the stock item is still usable by the department but has no value. If this is the case the item can be written off but remain in stock in a separate area. This is only reasonable if there is sufficient space in the store and the item is sufficiently small to still keep in stock. It can then be issued out over a longer period of time or it can be written back in to stock if a future need is identified. </w:t>
      </w:r>
    </w:p>
    <w:p w:rsidR="004D3E3E" w:rsidRDefault="004D3E3E" w:rsidP="004D3E3E"/>
    <w:p w:rsidR="004D3E3E" w:rsidRDefault="004D3E3E" w:rsidP="004D3E3E">
      <w:r>
        <w:t>7.2</w:t>
      </w:r>
      <w:r>
        <w:tab/>
        <w:t>As with the provision guidance, some departments will carry stock that does not fall in to the normal stock lines and will cause exceptions to the use of the formulae, such as publications – see Appendix 1. In these cases the basic principles and financial authority remain the same, only the method of calculation changes.</w:t>
      </w:r>
    </w:p>
    <w:p w:rsidR="004D3E3E" w:rsidRDefault="004D3E3E" w:rsidP="004D3E3E"/>
    <w:p w:rsidR="004D3E3E" w:rsidRDefault="004D3E3E" w:rsidP="004D3E3E">
      <w:r>
        <w:t>7.3</w:t>
      </w:r>
      <w:r>
        <w:tab/>
        <w:t>The Process Owner should be forwarded details of this write off as a courtesy, to record for future reference and for auditing purposes.</w:t>
      </w:r>
    </w:p>
    <w:p w:rsidR="004D3E3E" w:rsidRDefault="004D3E3E" w:rsidP="004D3E3E"/>
    <w:p w:rsidR="004D3E3E" w:rsidRDefault="004D3E3E" w:rsidP="004D3E3E">
      <w:r>
        <w:t>7.4</w:t>
      </w:r>
      <w:r>
        <w:tab/>
        <w:t>The Departmental Administrator must retain evidence that the stock written off has been properly approved including the reason for the decision stated.</w:t>
      </w:r>
    </w:p>
    <w:p w:rsidR="004D3E3E" w:rsidRDefault="004D3E3E" w:rsidP="004D3E3E"/>
    <w:p w:rsidR="004D3E3E" w:rsidRPr="004D3E3E" w:rsidRDefault="004D3E3E" w:rsidP="004D3E3E"/>
    <w:p w:rsidR="00A464C1" w:rsidRDefault="004D3E3E" w:rsidP="00A464C1">
      <w:pPr>
        <w:pStyle w:val="Heading1"/>
        <w:numPr>
          <w:ilvl w:val="0"/>
          <w:numId w:val="4"/>
        </w:numPr>
        <w:spacing w:before="0"/>
        <w:jc w:val="both"/>
        <w:rPr>
          <w:rFonts w:ascii="Trebuchet MS" w:hAnsi="Trebuchet MS"/>
          <w:sz w:val="36"/>
        </w:rPr>
      </w:pPr>
      <w:bookmarkStart w:id="8" w:name="_Toc3885323"/>
      <w:r>
        <w:rPr>
          <w:rFonts w:ascii="Trebuchet MS" w:hAnsi="Trebuchet MS"/>
          <w:sz w:val="36"/>
        </w:rPr>
        <w:t>Disposal of stock</w:t>
      </w:r>
      <w:bookmarkEnd w:id="8"/>
    </w:p>
    <w:p w:rsidR="004D3E3E" w:rsidRDefault="004D3E3E" w:rsidP="004D3E3E"/>
    <w:p w:rsidR="004D3E3E" w:rsidRDefault="004D3E3E" w:rsidP="004D3E3E">
      <w:r>
        <w:t>8.1</w:t>
      </w:r>
      <w:r>
        <w:tab/>
        <w:t>As the Financial authority lies with the Head of Department, so does the ultimate responsibility for disposal of written off and unusable items of stock. However, the Store Supervisor, overseen by the Departmental Administrator, will undertake the actual physical disposal.</w:t>
      </w:r>
    </w:p>
    <w:p w:rsidR="004D3E3E" w:rsidRDefault="004D3E3E" w:rsidP="004D3E3E"/>
    <w:p w:rsidR="004D3E3E" w:rsidRDefault="004D3E3E" w:rsidP="004D3E3E">
      <w:r>
        <w:t>8.2</w:t>
      </w:r>
      <w:r>
        <w:tab/>
        <w:t>If the item of stock is still usable but no longer required by the department then it should be offered to other similar departments before disposal takes place. Other alternatives should be considered such as school or charity donations prior to disposal.</w:t>
      </w:r>
    </w:p>
    <w:p w:rsidR="004D3E3E" w:rsidRDefault="004D3E3E" w:rsidP="004D3E3E"/>
    <w:p w:rsidR="004D3E3E" w:rsidRDefault="004D3E3E" w:rsidP="004D3E3E">
      <w:r>
        <w:t>8.3</w:t>
      </w:r>
      <w:r>
        <w:tab/>
        <w:t>Once disposal has been agreed, the item should be removed from the physical stock location and counted to compare with the quantity held on the stock management system and any adjustments to the quantity accounted for.  The stock should be updated to reflect the write off deduction in stock held and possible deletion of identification line number.</w:t>
      </w:r>
    </w:p>
    <w:p w:rsidR="004D3E3E" w:rsidRDefault="004D3E3E" w:rsidP="004D3E3E"/>
    <w:p w:rsidR="004D3E3E" w:rsidRDefault="004D3E3E" w:rsidP="004D3E3E">
      <w:r>
        <w:t>8.4</w:t>
      </w:r>
      <w:r>
        <w:tab/>
        <w:t>The item should then be disposed of in accordance with the department’s local recycling procedures. If the item is a hazardous substance or a chemical then the Health and Safety Executive guidelines should be adhered to (see ‘References’ for link). For future reference and auditing purposes the Head of Department should retain documentation of these types of disposals.</w:t>
      </w:r>
    </w:p>
    <w:p w:rsidR="004D3E3E" w:rsidRDefault="004D3E3E" w:rsidP="004D3E3E"/>
    <w:p w:rsidR="004D3E3E" w:rsidRDefault="004D3E3E" w:rsidP="004D3E3E">
      <w:r>
        <w:t>8.5</w:t>
      </w:r>
      <w:r>
        <w:tab/>
        <w:t>There may be costs incurred for disposal of an item and pooling these types of disposals at regular pre-determined intervals with other departments should be considered wherever possible.</w:t>
      </w:r>
    </w:p>
    <w:p w:rsidR="004D3E3E" w:rsidRDefault="004D3E3E" w:rsidP="004D3E3E"/>
    <w:p w:rsidR="004D3E3E" w:rsidRDefault="004D3E3E" w:rsidP="004D3E3E">
      <w:r>
        <w:t>8.6</w:t>
      </w:r>
      <w:r>
        <w:tab/>
        <w:t xml:space="preserve">If the item has an attractiveness or resale value outside of the University, but it is not appropriate for the department to keep it any longer, the items of stock should be defaced, ripped, </w:t>
      </w:r>
      <w:proofErr w:type="spellStart"/>
      <w:r>
        <w:t>etc</w:t>
      </w:r>
      <w:proofErr w:type="spellEnd"/>
      <w:r>
        <w:t xml:space="preserve"> so they have no resale value outside of the University.</w:t>
      </w:r>
    </w:p>
    <w:p w:rsidR="004D3E3E" w:rsidRDefault="004D3E3E" w:rsidP="004D3E3E"/>
    <w:p w:rsidR="004D3E3E" w:rsidRDefault="004D3E3E" w:rsidP="004D3E3E">
      <w:r>
        <w:t>8.7</w:t>
      </w:r>
      <w:r>
        <w:tab/>
        <w:t>‘In-house’ checking of all disposals should be administered by the Head of Department to ensure compliance, which should be available for review by the Process Owner and/or auditors on a regular basis.</w:t>
      </w:r>
    </w:p>
    <w:p w:rsidR="004D3E3E" w:rsidRPr="004D3E3E" w:rsidRDefault="004D3E3E" w:rsidP="004D3E3E"/>
    <w:p w:rsidR="004D3E3E" w:rsidRDefault="004D3E3E" w:rsidP="004D3E3E">
      <w:pPr>
        <w:pStyle w:val="Heading1"/>
        <w:numPr>
          <w:ilvl w:val="0"/>
          <w:numId w:val="4"/>
        </w:numPr>
        <w:spacing w:before="0"/>
        <w:jc w:val="both"/>
        <w:rPr>
          <w:rFonts w:ascii="Trebuchet MS" w:hAnsi="Trebuchet MS"/>
          <w:sz w:val="36"/>
        </w:rPr>
      </w:pPr>
      <w:bookmarkStart w:id="9" w:name="_Toc3885324"/>
      <w:r>
        <w:rPr>
          <w:rFonts w:ascii="Trebuchet MS" w:hAnsi="Trebuchet MS"/>
          <w:sz w:val="36"/>
        </w:rPr>
        <w:t>References</w:t>
      </w:r>
      <w:bookmarkEnd w:id="9"/>
    </w:p>
    <w:p w:rsidR="004D3E3E" w:rsidRDefault="004D3E3E" w:rsidP="004D3E3E"/>
    <w:p w:rsidR="004D3E3E" w:rsidRPr="004D3E3E" w:rsidRDefault="004D3E3E" w:rsidP="004D3E3E">
      <w:hyperlink r:id="rId10" w:history="1">
        <w:r w:rsidRPr="004D3E3E">
          <w:rPr>
            <w:rStyle w:val="Hyperlink"/>
          </w:rPr>
          <w:t>Oxford University: Financial Reg</w:t>
        </w:r>
        <w:r w:rsidRPr="004D3E3E">
          <w:rPr>
            <w:rStyle w:val="Hyperlink"/>
          </w:rPr>
          <w:t>u</w:t>
        </w:r>
        <w:r w:rsidRPr="004D3E3E">
          <w:rPr>
            <w:rStyle w:val="Hyperlink"/>
          </w:rPr>
          <w:t>lations</w:t>
        </w:r>
      </w:hyperlink>
    </w:p>
    <w:p w:rsidR="004D3E3E" w:rsidRPr="004D3E3E" w:rsidRDefault="004D3E3E" w:rsidP="004D3E3E">
      <w:hyperlink r:id="rId11" w:history="1">
        <w:r w:rsidRPr="004D3E3E">
          <w:rPr>
            <w:rStyle w:val="Hyperlink"/>
          </w:rPr>
          <w:t xml:space="preserve">Oxford University: Financial Control </w:t>
        </w:r>
        <w:r w:rsidRPr="004D3E3E">
          <w:rPr>
            <w:rStyle w:val="Hyperlink"/>
          </w:rPr>
          <w:t>I</w:t>
        </w:r>
        <w:r w:rsidRPr="004D3E3E">
          <w:rPr>
            <w:rStyle w:val="Hyperlink"/>
          </w:rPr>
          <w:t>n</w:t>
        </w:r>
        <w:r w:rsidRPr="004D3E3E">
          <w:rPr>
            <w:rStyle w:val="Hyperlink"/>
          </w:rPr>
          <w:t>d</w:t>
        </w:r>
        <w:r w:rsidRPr="004D3E3E">
          <w:rPr>
            <w:rStyle w:val="Hyperlink"/>
          </w:rPr>
          <w:t>icators</w:t>
        </w:r>
      </w:hyperlink>
    </w:p>
    <w:p w:rsidR="004D3E3E" w:rsidRPr="004D3E3E" w:rsidRDefault="004D3E3E" w:rsidP="004D3E3E">
      <w:hyperlink r:id="rId12" w:history="1">
        <w:r w:rsidRPr="004D3E3E">
          <w:rPr>
            <w:rStyle w:val="Hyperlink"/>
          </w:rPr>
          <w:t>Health &amp; Safety Executive: COSH</w:t>
        </w:r>
        <w:r w:rsidRPr="004D3E3E">
          <w:rPr>
            <w:rStyle w:val="Hyperlink"/>
          </w:rPr>
          <w:t>H</w:t>
        </w:r>
        <w:r w:rsidRPr="004D3E3E">
          <w:rPr>
            <w:rStyle w:val="Hyperlink"/>
          </w:rPr>
          <w:t xml:space="preserve"> Guidelines</w:t>
        </w:r>
      </w:hyperlink>
    </w:p>
    <w:p w:rsidR="004D3E3E" w:rsidRPr="004D3E3E" w:rsidRDefault="004D3E3E" w:rsidP="004D3E3E"/>
    <w:p w:rsidR="004D3E3E" w:rsidRPr="004D3E3E" w:rsidRDefault="004D3E3E" w:rsidP="004D3E3E">
      <w:r w:rsidRPr="004D3E3E">
        <w:rPr>
          <w:rStyle w:val="Strong"/>
        </w:rPr>
        <w:t>If further information or guidance is required, please contact the Process Owner:</w:t>
      </w:r>
      <w:r w:rsidRPr="004D3E3E">
        <w:t xml:space="preserve"> </w:t>
      </w:r>
      <w:r w:rsidRPr="004D3E3E">
        <w:br/>
        <w:t xml:space="preserve">Louise Stratton, Fixed Asset Accountant, telephone: 01865 (6) 16128 or </w:t>
      </w:r>
      <w:hyperlink r:id="rId13" w:history="1">
        <w:r w:rsidRPr="004D3E3E">
          <w:rPr>
            <w:rStyle w:val="Hyperlink"/>
          </w:rPr>
          <w:t>louise.stratton@admin.ox.ac.uk</w:t>
        </w:r>
      </w:hyperlink>
      <w:r w:rsidRPr="004D3E3E">
        <w:t xml:space="preserve">.  </w:t>
      </w:r>
    </w:p>
    <w:p w:rsidR="004D3E3E" w:rsidRDefault="004D3E3E" w:rsidP="004D3E3E"/>
    <w:p w:rsidR="004D3E3E" w:rsidRDefault="004D3E3E" w:rsidP="004D3E3E"/>
    <w:p w:rsidR="00304972" w:rsidRDefault="00304972" w:rsidP="004D3E3E"/>
    <w:p w:rsidR="00304972" w:rsidRDefault="00304972" w:rsidP="004D3E3E"/>
    <w:p w:rsidR="00304972" w:rsidRPr="004D3E3E" w:rsidRDefault="00304972" w:rsidP="004D3E3E">
      <w:bookmarkStart w:id="10" w:name="_GoBack"/>
      <w:bookmarkEnd w:id="10"/>
    </w:p>
    <w:p w:rsidR="004D3E3E" w:rsidRPr="004D3E3E" w:rsidRDefault="004D3E3E" w:rsidP="004D3E3E">
      <w:pPr>
        <w:pStyle w:val="Heading1"/>
        <w:spacing w:before="0"/>
        <w:jc w:val="both"/>
        <w:rPr>
          <w:rFonts w:ascii="Trebuchet MS" w:hAnsi="Trebuchet MS"/>
          <w:sz w:val="36"/>
        </w:rPr>
      </w:pPr>
      <w:bookmarkStart w:id="11" w:name="_Toc3885325"/>
      <w:r>
        <w:rPr>
          <w:rFonts w:ascii="Trebuchet MS" w:hAnsi="Trebuchet MS"/>
          <w:sz w:val="36"/>
        </w:rPr>
        <w:t>Appendix 1</w:t>
      </w:r>
      <w:bookmarkEnd w:id="11"/>
    </w:p>
    <w:p w:rsidR="004D3E3E" w:rsidRPr="004D3E3E" w:rsidRDefault="004D3E3E" w:rsidP="004D3E3E"/>
    <w:p w:rsidR="004D3E3E" w:rsidRPr="004D3E3E" w:rsidRDefault="004D3E3E" w:rsidP="004D3E3E">
      <w:pPr>
        <w:spacing w:after="0"/>
        <w:jc w:val="both"/>
        <w:rPr>
          <w:rFonts w:eastAsiaTheme="majorEastAsia" w:cstheme="majorBidi"/>
        </w:rPr>
      </w:pPr>
      <w:r w:rsidRPr="004D3E3E">
        <w:rPr>
          <w:rFonts w:eastAsiaTheme="majorEastAsia" w:cstheme="majorBidi"/>
        </w:rPr>
        <w:t>An example of a local policy for stock that does not fall under the normal University policy is detailed below. The example shows the method of calculation for provision and write-off used by a department for their publication stock and can be used as a starting base by other departments who hold similar types of stock. The life of the stock and the expected levels of sales can be adjusted as appropriate by the department.</w:t>
      </w:r>
    </w:p>
    <w:p w:rsidR="004D3E3E" w:rsidRPr="004D3E3E" w:rsidRDefault="004D3E3E" w:rsidP="004D3E3E">
      <w:pPr>
        <w:spacing w:after="0"/>
        <w:jc w:val="both"/>
        <w:rPr>
          <w:rFonts w:eastAsiaTheme="majorEastAsia" w:cstheme="majorBidi"/>
        </w:rPr>
      </w:pPr>
    </w:p>
    <w:p w:rsidR="004D3E3E" w:rsidRPr="004D3E3E" w:rsidRDefault="004D3E3E" w:rsidP="004D3E3E">
      <w:pPr>
        <w:spacing w:after="0"/>
        <w:jc w:val="both"/>
        <w:rPr>
          <w:rFonts w:eastAsiaTheme="majorEastAsia" w:cstheme="majorBidi"/>
        </w:rPr>
      </w:pPr>
      <w:r w:rsidRPr="004D3E3E">
        <w:rPr>
          <w:rFonts w:eastAsiaTheme="majorEastAsia" w:cstheme="majorBidi"/>
        </w:rPr>
        <w:t>The policy states that for a given quantity of purchased books the department expects that they will all be sold over a four-year period, at a rate of one quarter per year. Any remaining stock is fully written off at the end of the four-year period. The provision is made at the end of each financial year for unsold stock that was expected to have sold in that year and increases as the stock ages.</w:t>
      </w:r>
    </w:p>
    <w:p w:rsidR="004D3E3E" w:rsidRPr="004D3E3E" w:rsidRDefault="004D3E3E" w:rsidP="004D3E3E">
      <w:pPr>
        <w:spacing w:after="0"/>
        <w:jc w:val="both"/>
        <w:rPr>
          <w:rFonts w:eastAsiaTheme="majorEastAsia" w:cstheme="majorBidi"/>
        </w:rPr>
      </w:pPr>
    </w:p>
    <w:p w:rsidR="004D3E3E" w:rsidRPr="004D3E3E" w:rsidRDefault="004D3E3E" w:rsidP="004D3E3E">
      <w:pPr>
        <w:spacing w:after="0"/>
        <w:jc w:val="both"/>
        <w:rPr>
          <w:rFonts w:eastAsiaTheme="majorEastAsia" w:cstheme="majorBidi"/>
        </w:rPr>
      </w:pPr>
      <w:r w:rsidRPr="004D3E3E">
        <w:rPr>
          <w:rFonts w:eastAsiaTheme="majorEastAsia" w:cstheme="majorBidi"/>
        </w:rPr>
        <w:t>E.g.</w:t>
      </w:r>
    </w:p>
    <w:p w:rsidR="004D3E3E" w:rsidRPr="004D3E3E" w:rsidRDefault="004D3E3E" w:rsidP="004D3E3E">
      <w:pPr>
        <w:spacing w:after="0"/>
        <w:jc w:val="both"/>
        <w:rPr>
          <w:rFonts w:eastAsiaTheme="majorEastAsia" w:cstheme="majorBidi"/>
        </w:rPr>
      </w:pPr>
      <w:r w:rsidRPr="004D3E3E">
        <w:rPr>
          <w:rFonts w:eastAsiaTheme="majorEastAsia" w:cstheme="majorBidi"/>
        </w:rPr>
        <w:t>Published 500 books at a cost of £5 each, with a total value of £2,500</w:t>
      </w:r>
    </w:p>
    <w:p w:rsidR="004D3E3E" w:rsidRPr="004D3E3E" w:rsidRDefault="004D3E3E" w:rsidP="004D3E3E">
      <w:pPr>
        <w:spacing w:after="0"/>
        <w:jc w:val="both"/>
        <w:rPr>
          <w:rFonts w:eastAsiaTheme="majorEastAsia" w:cstheme="majorBidi"/>
        </w:rPr>
      </w:pPr>
      <w:r w:rsidRPr="004D3E3E">
        <w:rPr>
          <w:rFonts w:eastAsiaTheme="majorEastAsia" w:cstheme="majorBidi"/>
        </w:rPr>
        <w:t>Year 1:  Sales quantity 125 with no provision.</w:t>
      </w:r>
    </w:p>
    <w:p w:rsidR="004D3E3E" w:rsidRPr="004D3E3E" w:rsidRDefault="004D3E3E" w:rsidP="004D3E3E">
      <w:pPr>
        <w:spacing w:after="0"/>
        <w:jc w:val="both"/>
        <w:rPr>
          <w:rFonts w:eastAsiaTheme="majorEastAsia" w:cstheme="majorBidi"/>
        </w:rPr>
      </w:pPr>
      <w:r w:rsidRPr="004D3E3E">
        <w:rPr>
          <w:rFonts w:eastAsiaTheme="majorEastAsia" w:cstheme="majorBidi"/>
        </w:rPr>
        <w:t>Year 2:  Sales quantity 100 with provision for a quantity of 25 at cost of £125.</w:t>
      </w:r>
    </w:p>
    <w:p w:rsidR="004D3E3E" w:rsidRPr="004D3E3E" w:rsidRDefault="004D3E3E" w:rsidP="004D3E3E">
      <w:pPr>
        <w:spacing w:after="0"/>
        <w:jc w:val="both"/>
        <w:rPr>
          <w:rFonts w:eastAsiaTheme="majorEastAsia" w:cstheme="majorBidi"/>
        </w:rPr>
      </w:pPr>
      <w:r w:rsidRPr="004D3E3E">
        <w:rPr>
          <w:rFonts w:eastAsiaTheme="majorEastAsia" w:cstheme="majorBidi"/>
        </w:rPr>
        <w:t>Year 3: Sales quantity 100 with provision for a quantity of 25 at cost of £125. Total provision is now for 50 books at a total cost of £250.</w:t>
      </w:r>
    </w:p>
    <w:p w:rsidR="004D3E3E" w:rsidRPr="004D3E3E" w:rsidRDefault="004D3E3E" w:rsidP="004D3E3E">
      <w:pPr>
        <w:spacing w:after="0"/>
        <w:jc w:val="both"/>
        <w:rPr>
          <w:rFonts w:eastAsiaTheme="majorEastAsia" w:cstheme="majorBidi"/>
        </w:rPr>
      </w:pPr>
      <w:r w:rsidRPr="004D3E3E">
        <w:rPr>
          <w:rFonts w:eastAsiaTheme="majorEastAsia" w:cstheme="majorBidi"/>
        </w:rPr>
        <w:t>Year 4: Sales quantity 50 with total write-off of a quantity of 125 at cost of £625.</w:t>
      </w:r>
    </w:p>
    <w:p w:rsidR="004D3E3E" w:rsidRPr="004D3E3E" w:rsidRDefault="004D3E3E" w:rsidP="004D3E3E">
      <w:pPr>
        <w:spacing w:after="0"/>
        <w:jc w:val="both"/>
        <w:rPr>
          <w:rFonts w:eastAsiaTheme="majorEastAsia" w:cstheme="majorBidi"/>
        </w:rPr>
      </w:pPr>
    </w:p>
    <w:p w:rsidR="004D3E3E" w:rsidRPr="004D3E3E" w:rsidRDefault="004D3E3E" w:rsidP="004D3E3E">
      <w:pPr>
        <w:spacing w:after="0"/>
        <w:jc w:val="both"/>
        <w:rPr>
          <w:rFonts w:eastAsiaTheme="majorEastAsia" w:cstheme="majorBidi"/>
        </w:rPr>
      </w:pPr>
      <w:r w:rsidRPr="004D3E3E">
        <w:rPr>
          <w:rFonts w:eastAsiaTheme="majorEastAsia" w:cstheme="majorBidi"/>
        </w:rPr>
        <w:t>In this case the stock is not physically disposed of and any future cost of sales for these books will be at zero cost when sold.</w:t>
      </w:r>
    </w:p>
    <w:p w:rsidR="00A464C1" w:rsidRDefault="00A464C1" w:rsidP="005D6F85">
      <w:pPr>
        <w:spacing w:after="0"/>
        <w:jc w:val="both"/>
        <w:rPr>
          <w:rFonts w:ascii="Verdana" w:eastAsiaTheme="majorEastAsia" w:hAnsi="Verdana" w:cstheme="majorBidi"/>
        </w:rPr>
      </w:pPr>
    </w:p>
    <w:p w:rsidR="00A464C1" w:rsidRDefault="00A464C1" w:rsidP="005D6F85">
      <w:pPr>
        <w:spacing w:after="0"/>
        <w:jc w:val="both"/>
        <w:rPr>
          <w:rFonts w:ascii="Verdana" w:eastAsiaTheme="majorEastAsia" w:hAnsi="Verdana" w:cstheme="majorBidi"/>
        </w:rPr>
      </w:pPr>
    </w:p>
    <w:p w:rsidR="007775C3" w:rsidRPr="00062A3E" w:rsidRDefault="007775C3" w:rsidP="0023728D">
      <w:pPr>
        <w:pStyle w:val="Text"/>
        <w:rPr>
          <w:rFonts w:ascii="Verdana" w:eastAsiaTheme="majorEastAsia" w:hAnsi="Verdana" w:cstheme="majorBidi"/>
          <w:sz w:val="24"/>
          <w:szCs w:val="26"/>
        </w:rPr>
      </w:pPr>
    </w:p>
    <w:sectPr w:rsidR="007775C3" w:rsidRPr="00062A3E" w:rsidSect="005C6D36">
      <w:headerReference w:type="default" r:id="rId14"/>
      <w:footerReference w:type="default" r:id="rId15"/>
      <w:footerReference w:type="firs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CCF" w:rsidRDefault="00490CCF" w:rsidP="00D70F7D">
      <w:pPr>
        <w:spacing w:after="0" w:line="240" w:lineRule="auto"/>
      </w:pPr>
      <w:r>
        <w:separator/>
      </w:r>
    </w:p>
  </w:endnote>
  <w:endnote w:type="continuationSeparator" w:id="0">
    <w:p w:rsidR="00490CCF" w:rsidRDefault="00490CCF" w:rsidP="00D70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093577"/>
      <w:docPartObj>
        <w:docPartGallery w:val="Page Numbers (Bottom of Page)"/>
        <w:docPartUnique/>
      </w:docPartObj>
    </w:sdtPr>
    <w:sdtEndPr>
      <w:rPr>
        <w:noProof/>
      </w:rPr>
    </w:sdtEndPr>
    <w:sdtContent>
      <w:p w:rsidR="00490CCF" w:rsidRDefault="00490CCF" w:rsidP="005C6D36">
        <w:pPr>
          <w:pStyle w:val="Footer"/>
          <w:jc w:val="center"/>
        </w:pPr>
        <w:r>
          <w:fldChar w:fldCharType="begin"/>
        </w:r>
        <w:r>
          <w:instrText xml:space="preserve"> PAGE  \* ArabicDash  \* MERGEFORMAT </w:instrText>
        </w:r>
        <w:r>
          <w:fldChar w:fldCharType="separate"/>
        </w:r>
        <w:r w:rsidR="00304972">
          <w:rPr>
            <w:noProof/>
          </w:rPr>
          <w:t>- 6 -</w:t>
        </w:r>
        <w:r>
          <w:fldChar w:fldCharType="end"/>
        </w:r>
      </w:p>
    </w:sdtContent>
  </w:sdt>
  <w:p w:rsidR="00490CCF" w:rsidRDefault="00490C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CCF" w:rsidRDefault="00490CCF" w:rsidP="00D70F7D">
    <w:pPr>
      <w:pStyle w:val="Head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CCF" w:rsidRDefault="00490CCF" w:rsidP="00D70F7D">
      <w:pPr>
        <w:spacing w:after="0" w:line="240" w:lineRule="auto"/>
      </w:pPr>
      <w:r>
        <w:separator/>
      </w:r>
    </w:p>
  </w:footnote>
  <w:footnote w:type="continuationSeparator" w:id="0">
    <w:p w:rsidR="00490CCF" w:rsidRDefault="00490CCF" w:rsidP="00D70F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CCF" w:rsidRPr="00D70F7D" w:rsidRDefault="00490CCF" w:rsidP="00D70F7D">
    <w:pPr>
      <w:pStyle w:val="Header"/>
      <w:jc w:val="right"/>
    </w:pPr>
    <w:sdt>
      <w:sdtPr>
        <w:rPr>
          <w:rFonts w:ascii="Trebuchet MS" w:hAnsi="Trebuchet MS"/>
          <w:spacing w:val="7"/>
          <w:kern w:val="36"/>
        </w:rPr>
        <w:alias w:val="Title"/>
        <w:tag w:val=""/>
        <w:id w:val="2072079018"/>
        <w:dataBinding w:prefixMappings="xmlns:ns0='http://purl.org/dc/elements/1.1/' xmlns:ns1='http://schemas.openxmlformats.org/package/2006/metadata/core-properties' " w:xpath="/ns1:coreProperties[1]/ns0:title[1]" w:storeItemID="{6C3C8BC8-F283-45AE-878A-BAB7291924A1}"/>
        <w:text w:multiLine="1"/>
      </w:sdtPr>
      <w:sdtContent>
        <w:r>
          <w:rPr>
            <w:rFonts w:ascii="Trebuchet MS" w:hAnsi="Trebuchet MS"/>
            <w:spacing w:val="7"/>
            <w:kern w:val="36"/>
          </w:rPr>
          <w:t>Stock Provision, Write Off and Disposals Policy</w:t>
        </w:r>
      </w:sdtContent>
    </w:sdt>
  </w:p>
  <w:p w:rsidR="00490CCF" w:rsidRPr="00D70F7D" w:rsidRDefault="00490CCF" w:rsidP="00D70F7D">
    <w:pPr>
      <w:pStyle w:val="Header"/>
      <w:jc w:val="right"/>
    </w:pPr>
    <w:r w:rsidRPr="00D70F7D">
      <w:t>University of Oxford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A23CE"/>
    <w:multiLevelType w:val="hybridMultilevel"/>
    <w:tmpl w:val="98DE0968"/>
    <w:lvl w:ilvl="0" w:tplc="55C6092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6095F"/>
    <w:multiLevelType w:val="multilevel"/>
    <w:tmpl w:val="93AE2248"/>
    <w:lvl w:ilvl="0">
      <w:start w:val="1"/>
      <w:numFmt w:val="decimal"/>
      <w:lvlText w:val="%1."/>
      <w:lvlJc w:val="left"/>
      <w:pPr>
        <w:ind w:left="360" w:hanging="360"/>
      </w:pPr>
    </w:lvl>
    <w:lvl w:ilvl="1">
      <w:start w:val="1"/>
      <w:numFmt w:val="decimal"/>
      <w:lvlText w:val="%1.%2."/>
      <w:lvlJc w:val="left"/>
      <w:pPr>
        <w:ind w:left="792" w:hanging="432"/>
      </w:pPr>
      <w:rPr>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C15414"/>
    <w:multiLevelType w:val="hybridMultilevel"/>
    <w:tmpl w:val="9F669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F7990"/>
    <w:multiLevelType w:val="hybridMultilevel"/>
    <w:tmpl w:val="B40A5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D7086D"/>
    <w:multiLevelType w:val="multilevel"/>
    <w:tmpl w:val="37B69726"/>
    <w:lvl w:ilvl="0">
      <w:start w:val="1"/>
      <w:numFmt w:val="decimal"/>
      <w:lvlText w:val="%1."/>
      <w:lvlJc w:val="left"/>
      <w:pPr>
        <w:ind w:left="360" w:hanging="360"/>
      </w:pPr>
      <w:rPr>
        <w:rFonts w:hint="default"/>
      </w:rPr>
    </w:lvl>
    <w:lvl w:ilvl="1">
      <w:start w:val="1"/>
      <w:numFmt w:val="decimal"/>
      <w:lvlText w:val="%1.%2."/>
      <w:lvlJc w:val="left"/>
      <w:pPr>
        <w:ind w:left="187" w:hanging="187"/>
      </w:pPr>
      <w:rPr>
        <w:rFonts w:hint="default"/>
        <w:sz w:val="24"/>
        <w:szCs w:val="32"/>
      </w:rPr>
    </w:lvl>
    <w:lvl w:ilvl="2">
      <w:start w:val="1"/>
      <w:numFmt w:val="decimal"/>
      <w:lvlText w:val="%1.%2.%3."/>
      <w:lvlJc w:val="left"/>
      <w:pPr>
        <w:ind w:left="357" w:hanging="18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2C290F"/>
    <w:multiLevelType w:val="multilevel"/>
    <w:tmpl w:val="93AE2248"/>
    <w:lvl w:ilvl="0">
      <w:start w:val="1"/>
      <w:numFmt w:val="decimal"/>
      <w:lvlText w:val="%1."/>
      <w:lvlJc w:val="left"/>
      <w:pPr>
        <w:ind w:left="360" w:hanging="360"/>
      </w:pPr>
    </w:lvl>
    <w:lvl w:ilvl="1">
      <w:start w:val="1"/>
      <w:numFmt w:val="decimal"/>
      <w:lvlText w:val="%1.%2."/>
      <w:lvlJc w:val="left"/>
      <w:pPr>
        <w:ind w:left="792" w:hanging="432"/>
      </w:pPr>
      <w:rPr>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F94AC2"/>
    <w:multiLevelType w:val="hybridMultilevel"/>
    <w:tmpl w:val="060419A8"/>
    <w:lvl w:ilvl="0" w:tplc="6748B72E">
      <w:start w:val="2"/>
      <w:numFmt w:val="bullet"/>
      <w:lvlText w:val="•"/>
      <w:lvlJc w:val="left"/>
      <w:pPr>
        <w:ind w:left="1080" w:hanging="720"/>
      </w:pPr>
      <w:rPr>
        <w:rFonts w:ascii="Verdana" w:eastAsiaTheme="majorEastAsia" w:hAnsi="Verdana"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9D6D47"/>
    <w:multiLevelType w:val="hybridMultilevel"/>
    <w:tmpl w:val="FEF49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6E70C2"/>
    <w:multiLevelType w:val="hybridMultilevel"/>
    <w:tmpl w:val="83ACBC2C"/>
    <w:lvl w:ilvl="0" w:tplc="6748B72E">
      <w:numFmt w:val="bullet"/>
      <w:lvlText w:val="•"/>
      <w:lvlJc w:val="left"/>
      <w:pPr>
        <w:ind w:left="720" w:hanging="360"/>
      </w:pPr>
      <w:rPr>
        <w:rFonts w:ascii="Verdana" w:eastAsiaTheme="majorEastAsia" w:hAnsi="Verdana"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942C85"/>
    <w:multiLevelType w:val="hybridMultilevel"/>
    <w:tmpl w:val="6AD01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60E72"/>
    <w:multiLevelType w:val="hybridMultilevel"/>
    <w:tmpl w:val="1E5E4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C13096"/>
    <w:multiLevelType w:val="hybridMultilevel"/>
    <w:tmpl w:val="32262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069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825C0A"/>
    <w:multiLevelType w:val="multilevel"/>
    <w:tmpl w:val="93AE2248"/>
    <w:lvl w:ilvl="0">
      <w:start w:val="1"/>
      <w:numFmt w:val="decimal"/>
      <w:lvlText w:val="%1."/>
      <w:lvlJc w:val="left"/>
      <w:pPr>
        <w:ind w:left="360" w:hanging="360"/>
      </w:pPr>
    </w:lvl>
    <w:lvl w:ilvl="1">
      <w:start w:val="1"/>
      <w:numFmt w:val="decimal"/>
      <w:lvlText w:val="%1.%2."/>
      <w:lvlJc w:val="left"/>
      <w:pPr>
        <w:ind w:left="792" w:hanging="432"/>
      </w:pPr>
      <w:rPr>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E87D9D"/>
    <w:multiLevelType w:val="hybridMultilevel"/>
    <w:tmpl w:val="7B3E8642"/>
    <w:lvl w:ilvl="0" w:tplc="6748B72E">
      <w:start w:val="2"/>
      <w:numFmt w:val="bullet"/>
      <w:lvlText w:val="•"/>
      <w:lvlJc w:val="left"/>
      <w:pPr>
        <w:ind w:left="360" w:hanging="360"/>
      </w:pPr>
      <w:rPr>
        <w:rFonts w:ascii="Verdana" w:eastAsiaTheme="majorEastAsia" w:hAnsi="Verdana" w:cstheme="maj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0545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735671"/>
    <w:multiLevelType w:val="multilevel"/>
    <w:tmpl w:val="93AE2248"/>
    <w:lvl w:ilvl="0">
      <w:start w:val="1"/>
      <w:numFmt w:val="decimal"/>
      <w:lvlText w:val="%1."/>
      <w:lvlJc w:val="left"/>
      <w:pPr>
        <w:ind w:left="360" w:hanging="360"/>
      </w:pPr>
    </w:lvl>
    <w:lvl w:ilvl="1">
      <w:start w:val="1"/>
      <w:numFmt w:val="decimal"/>
      <w:lvlText w:val="%1.%2."/>
      <w:lvlJc w:val="left"/>
      <w:pPr>
        <w:ind w:left="792" w:hanging="432"/>
      </w:pPr>
      <w:rPr>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6E0526"/>
    <w:multiLevelType w:val="hybridMultilevel"/>
    <w:tmpl w:val="7348040E"/>
    <w:lvl w:ilvl="0" w:tplc="4A7E3832">
      <w:start w:val="2"/>
      <w:numFmt w:val="bullet"/>
      <w:lvlText w:val="•"/>
      <w:lvlJc w:val="left"/>
      <w:pPr>
        <w:ind w:left="357" w:hanging="357"/>
      </w:pPr>
      <w:rPr>
        <w:rFonts w:ascii="Verdana" w:eastAsiaTheme="majorEastAsia" w:hAnsi="Verdana"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DE00D0"/>
    <w:multiLevelType w:val="hybridMultilevel"/>
    <w:tmpl w:val="A31841A8"/>
    <w:lvl w:ilvl="0" w:tplc="55C6092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0835F6"/>
    <w:multiLevelType w:val="hybridMultilevel"/>
    <w:tmpl w:val="1B6A18DC"/>
    <w:lvl w:ilvl="0" w:tplc="4A7E3832">
      <w:start w:val="2"/>
      <w:numFmt w:val="bullet"/>
      <w:lvlText w:val="•"/>
      <w:lvlJc w:val="left"/>
      <w:pPr>
        <w:ind w:left="357" w:hanging="357"/>
      </w:pPr>
      <w:rPr>
        <w:rFonts w:ascii="Verdana" w:eastAsiaTheme="majorEastAsia" w:hAnsi="Verdana" w:cstheme="maj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270C76"/>
    <w:multiLevelType w:val="hybridMultilevel"/>
    <w:tmpl w:val="2D22C2FA"/>
    <w:lvl w:ilvl="0" w:tplc="4A7E3832">
      <w:start w:val="2"/>
      <w:numFmt w:val="bullet"/>
      <w:lvlText w:val="•"/>
      <w:lvlJc w:val="left"/>
      <w:pPr>
        <w:ind w:left="357" w:hanging="357"/>
      </w:pPr>
      <w:rPr>
        <w:rFonts w:ascii="Verdana" w:eastAsiaTheme="majorEastAsia" w:hAnsi="Verdana" w:cstheme="maj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7F1E93"/>
    <w:multiLevelType w:val="hybridMultilevel"/>
    <w:tmpl w:val="50F0A0BA"/>
    <w:lvl w:ilvl="0" w:tplc="6748B72E">
      <w:start w:val="2"/>
      <w:numFmt w:val="bullet"/>
      <w:lvlText w:val="•"/>
      <w:lvlJc w:val="left"/>
      <w:pPr>
        <w:ind w:left="360" w:hanging="360"/>
      </w:pPr>
      <w:rPr>
        <w:rFonts w:ascii="Verdana" w:eastAsiaTheme="majorEastAsia" w:hAnsi="Verdana" w:cstheme="maj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623B3A"/>
    <w:multiLevelType w:val="hybridMultilevel"/>
    <w:tmpl w:val="E1DA20F0"/>
    <w:lvl w:ilvl="0" w:tplc="6748B72E">
      <w:start w:val="2"/>
      <w:numFmt w:val="bullet"/>
      <w:lvlText w:val="•"/>
      <w:lvlJc w:val="left"/>
      <w:pPr>
        <w:ind w:left="360" w:hanging="360"/>
      </w:pPr>
      <w:rPr>
        <w:rFonts w:ascii="Verdana" w:eastAsiaTheme="majorEastAsia" w:hAnsi="Verdana" w:cstheme="maj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2F2995"/>
    <w:multiLevelType w:val="hybridMultilevel"/>
    <w:tmpl w:val="D24E7D78"/>
    <w:lvl w:ilvl="0" w:tplc="6748B72E">
      <w:start w:val="2"/>
      <w:numFmt w:val="bullet"/>
      <w:lvlText w:val="•"/>
      <w:lvlJc w:val="left"/>
      <w:pPr>
        <w:ind w:left="717" w:hanging="360"/>
      </w:pPr>
      <w:rPr>
        <w:rFonts w:ascii="Verdana" w:eastAsiaTheme="majorEastAsia" w:hAnsi="Verdana" w:cstheme="majorBidi"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4" w15:restartNumberingAfterBreak="0">
    <w:nsid w:val="589A651B"/>
    <w:multiLevelType w:val="hybridMultilevel"/>
    <w:tmpl w:val="1A86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B644C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562675"/>
    <w:multiLevelType w:val="hybridMultilevel"/>
    <w:tmpl w:val="2A740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D61EFC"/>
    <w:multiLevelType w:val="multilevel"/>
    <w:tmpl w:val="AB6CF6A0"/>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4624EEC"/>
    <w:multiLevelType w:val="hybridMultilevel"/>
    <w:tmpl w:val="D256D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512229D"/>
    <w:multiLevelType w:val="hybridMultilevel"/>
    <w:tmpl w:val="46300D78"/>
    <w:lvl w:ilvl="0" w:tplc="6748B72E">
      <w:start w:val="2"/>
      <w:numFmt w:val="bullet"/>
      <w:lvlText w:val="•"/>
      <w:lvlJc w:val="left"/>
      <w:pPr>
        <w:ind w:left="360" w:hanging="360"/>
      </w:pPr>
      <w:rPr>
        <w:rFonts w:ascii="Verdana" w:eastAsiaTheme="majorEastAsia" w:hAnsi="Verdana"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3E52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561F2C"/>
    <w:multiLevelType w:val="hybridMultilevel"/>
    <w:tmpl w:val="30FCB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E97074"/>
    <w:multiLevelType w:val="hybridMultilevel"/>
    <w:tmpl w:val="C1DA4B50"/>
    <w:lvl w:ilvl="0" w:tplc="6748B72E">
      <w:start w:val="2"/>
      <w:numFmt w:val="bullet"/>
      <w:lvlText w:val="•"/>
      <w:lvlJc w:val="left"/>
      <w:pPr>
        <w:ind w:left="720" w:hanging="720"/>
      </w:pPr>
      <w:rPr>
        <w:rFonts w:ascii="Verdana" w:eastAsiaTheme="majorEastAsia" w:hAnsi="Verdana" w:cstheme="maj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8707E1"/>
    <w:multiLevelType w:val="multilevel"/>
    <w:tmpl w:val="93AE2248"/>
    <w:lvl w:ilvl="0">
      <w:start w:val="1"/>
      <w:numFmt w:val="decimal"/>
      <w:lvlText w:val="%1."/>
      <w:lvlJc w:val="left"/>
      <w:pPr>
        <w:ind w:left="360" w:hanging="360"/>
      </w:pPr>
    </w:lvl>
    <w:lvl w:ilvl="1">
      <w:start w:val="1"/>
      <w:numFmt w:val="decimal"/>
      <w:lvlText w:val="%1.%2."/>
      <w:lvlJc w:val="left"/>
      <w:pPr>
        <w:ind w:left="792" w:hanging="432"/>
      </w:pPr>
      <w:rPr>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F25418"/>
    <w:multiLevelType w:val="hybridMultilevel"/>
    <w:tmpl w:val="D5FC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8B37C1"/>
    <w:multiLevelType w:val="hybridMultilevel"/>
    <w:tmpl w:val="48205DA8"/>
    <w:lvl w:ilvl="0" w:tplc="55C6092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0461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C048A7"/>
    <w:multiLevelType w:val="multilevel"/>
    <w:tmpl w:val="93AE2248"/>
    <w:lvl w:ilvl="0">
      <w:start w:val="1"/>
      <w:numFmt w:val="decimal"/>
      <w:lvlText w:val="%1."/>
      <w:lvlJc w:val="left"/>
      <w:pPr>
        <w:ind w:left="360" w:hanging="360"/>
      </w:pPr>
    </w:lvl>
    <w:lvl w:ilvl="1">
      <w:start w:val="1"/>
      <w:numFmt w:val="decimal"/>
      <w:lvlText w:val="%1.%2."/>
      <w:lvlJc w:val="left"/>
      <w:pPr>
        <w:ind w:left="792" w:hanging="432"/>
      </w:pPr>
      <w:rPr>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A436F2"/>
    <w:multiLevelType w:val="multilevel"/>
    <w:tmpl w:val="93AE2248"/>
    <w:lvl w:ilvl="0">
      <w:start w:val="1"/>
      <w:numFmt w:val="decimal"/>
      <w:lvlText w:val="%1."/>
      <w:lvlJc w:val="left"/>
      <w:pPr>
        <w:ind w:left="360" w:hanging="360"/>
      </w:pPr>
    </w:lvl>
    <w:lvl w:ilvl="1">
      <w:start w:val="1"/>
      <w:numFmt w:val="decimal"/>
      <w:lvlText w:val="%1.%2."/>
      <w:lvlJc w:val="left"/>
      <w:pPr>
        <w:ind w:left="792" w:hanging="432"/>
      </w:pPr>
      <w:rPr>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366FC8"/>
    <w:multiLevelType w:val="hybridMultilevel"/>
    <w:tmpl w:val="187458C6"/>
    <w:lvl w:ilvl="0" w:tplc="6748B72E">
      <w:start w:val="2"/>
      <w:numFmt w:val="bullet"/>
      <w:lvlText w:val="•"/>
      <w:lvlJc w:val="left"/>
      <w:pPr>
        <w:ind w:left="360" w:hanging="360"/>
      </w:pPr>
      <w:rPr>
        <w:rFonts w:ascii="Verdana" w:eastAsiaTheme="majorEastAsia" w:hAnsi="Verdana" w:cstheme="maj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27"/>
  </w:num>
  <w:num w:numId="3">
    <w:abstractNumId w:val="15"/>
  </w:num>
  <w:num w:numId="4">
    <w:abstractNumId w:val="4"/>
  </w:num>
  <w:num w:numId="5">
    <w:abstractNumId w:val="36"/>
  </w:num>
  <w:num w:numId="6">
    <w:abstractNumId w:val="25"/>
  </w:num>
  <w:num w:numId="7">
    <w:abstractNumId w:val="30"/>
  </w:num>
  <w:num w:numId="8">
    <w:abstractNumId w:val="33"/>
  </w:num>
  <w:num w:numId="9">
    <w:abstractNumId w:val="16"/>
  </w:num>
  <w:num w:numId="10">
    <w:abstractNumId w:val="38"/>
  </w:num>
  <w:num w:numId="11">
    <w:abstractNumId w:val="11"/>
  </w:num>
  <w:num w:numId="12">
    <w:abstractNumId w:val="6"/>
  </w:num>
  <w:num w:numId="13">
    <w:abstractNumId w:val="32"/>
  </w:num>
  <w:num w:numId="14">
    <w:abstractNumId w:val="20"/>
  </w:num>
  <w:num w:numId="15">
    <w:abstractNumId w:val="5"/>
  </w:num>
  <w:num w:numId="16">
    <w:abstractNumId w:val="21"/>
  </w:num>
  <w:num w:numId="17">
    <w:abstractNumId w:val="14"/>
  </w:num>
  <w:num w:numId="18">
    <w:abstractNumId w:val="13"/>
  </w:num>
  <w:num w:numId="19">
    <w:abstractNumId w:val="1"/>
  </w:num>
  <w:num w:numId="20">
    <w:abstractNumId w:val="37"/>
  </w:num>
  <w:num w:numId="21">
    <w:abstractNumId w:val="17"/>
  </w:num>
  <w:num w:numId="22">
    <w:abstractNumId w:val="19"/>
  </w:num>
  <w:num w:numId="23">
    <w:abstractNumId w:val="39"/>
  </w:num>
  <w:num w:numId="24">
    <w:abstractNumId w:val="8"/>
  </w:num>
  <w:num w:numId="25">
    <w:abstractNumId w:val="3"/>
  </w:num>
  <w:num w:numId="26">
    <w:abstractNumId w:val="7"/>
  </w:num>
  <w:num w:numId="27">
    <w:abstractNumId w:val="28"/>
  </w:num>
  <w:num w:numId="28">
    <w:abstractNumId w:val="29"/>
  </w:num>
  <w:num w:numId="29">
    <w:abstractNumId w:val="23"/>
  </w:num>
  <w:num w:numId="30">
    <w:abstractNumId w:val="22"/>
  </w:num>
  <w:num w:numId="31">
    <w:abstractNumId w:val="26"/>
  </w:num>
  <w:num w:numId="32">
    <w:abstractNumId w:val="34"/>
  </w:num>
  <w:num w:numId="33">
    <w:abstractNumId w:val="24"/>
  </w:num>
  <w:num w:numId="34">
    <w:abstractNumId w:val="31"/>
  </w:num>
  <w:num w:numId="35">
    <w:abstractNumId w:val="10"/>
  </w:num>
  <w:num w:numId="36">
    <w:abstractNumId w:val="9"/>
  </w:num>
  <w:num w:numId="37">
    <w:abstractNumId w:val="2"/>
  </w:num>
  <w:num w:numId="38">
    <w:abstractNumId w:val="18"/>
  </w:num>
  <w:num w:numId="39">
    <w:abstractNumId w:val="35"/>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5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5C3"/>
    <w:rsid w:val="00055D7E"/>
    <w:rsid w:val="00062A3E"/>
    <w:rsid w:val="000A4DA5"/>
    <w:rsid w:val="000D3CAB"/>
    <w:rsid w:val="000E13FA"/>
    <w:rsid w:val="0015135F"/>
    <w:rsid w:val="001B6B1E"/>
    <w:rsid w:val="001E635D"/>
    <w:rsid w:val="00226E56"/>
    <w:rsid w:val="00232188"/>
    <w:rsid w:val="0023728D"/>
    <w:rsid w:val="00262CF2"/>
    <w:rsid w:val="00280325"/>
    <w:rsid w:val="00290308"/>
    <w:rsid w:val="002A696A"/>
    <w:rsid w:val="002C2C5F"/>
    <w:rsid w:val="002C7B2E"/>
    <w:rsid w:val="002E3649"/>
    <w:rsid w:val="002F7889"/>
    <w:rsid w:val="00304972"/>
    <w:rsid w:val="00306A5E"/>
    <w:rsid w:val="00310183"/>
    <w:rsid w:val="003418E1"/>
    <w:rsid w:val="003A45FB"/>
    <w:rsid w:val="003D1B8E"/>
    <w:rsid w:val="003E2316"/>
    <w:rsid w:val="003F7042"/>
    <w:rsid w:val="0041273C"/>
    <w:rsid w:val="00414FF0"/>
    <w:rsid w:val="00450ACE"/>
    <w:rsid w:val="004732F9"/>
    <w:rsid w:val="004751EB"/>
    <w:rsid w:val="00490CCF"/>
    <w:rsid w:val="004B4824"/>
    <w:rsid w:val="004B537F"/>
    <w:rsid w:val="004D3E3E"/>
    <w:rsid w:val="004F2952"/>
    <w:rsid w:val="005370B8"/>
    <w:rsid w:val="0054788A"/>
    <w:rsid w:val="00551000"/>
    <w:rsid w:val="0055148B"/>
    <w:rsid w:val="005524DB"/>
    <w:rsid w:val="00554AE0"/>
    <w:rsid w:val="005A22F2"/>
    <w:rsid w:val="005C6D36"/>
    <w:rsid w:val="005D10E7"/>
    <w:rsid w:val="005D6F85"/>
    <w:rsid w:val="005F0C42"/>
    <w:rsid w:val="005F7325"/>
    <w:rsid w:val="00622C90"/>
    <w:rsid w:val="00630CB2"/>
    <w:rsid w:val="0065761B"/>
    <w:rsid w:val="00672FD8"/>
    <w:rsid w:val="006871ED"/>
    <w:rsid w:val="0069578D"/>
    <w:rsid w:val="007667EF"/>
    <w:rsid w:val="00773170"/>
    <w:rsid w:val="007775C3"/>
    <w:rsid w:val="007803DF"/>
    <w:rsid w:val="007B1253"/>
    <w:rsid w:val="00800575"/>
    <w:rsid w:val="00805371"/>
    <w:rsid w:val="00810A7A"/>
    <w:rsid w:val="00833DA8"/>
    <w:rsid w:val="00884B0B"/>
    <w:rsid w:val="00897E9A"/>
    <w:rsid w:val="008B0829"/>
    <w:rsid w:val="009309AD"/>
    <w:rsid w:val="00951627"/>
    <w:rsid w:val="009714D2"/>
    <w:rsid w:val="009A1088"/>
    <w:rsid w:val="00A01BDC"/>
    <w:rsid w:val="00A464C1"/>
    <w:rsid w:val="00A61A30"/>
    <w:rsid w:val="00AF2974"/>
    <w:rsid w:val="00B97C84"/>
    <w:rsid w:val="00BB3606"/>
    <w:rsid w:val="00BB39CA"/>
    <w:rsid w:val="00BF7923"/>
    <w:rsid w:val="00C37702"/>
    <w:rsid w:val="00C96E4D"/>
    <w:rsid w:val="00CC5FB0"/>
    <w:rsid w:val="00CF276F"/>
    <w:rsid w:val="00D475CD"/>
    <w:rsid w:val="00D5246C"/>
    <w:rsid w:val="00D65812"/>
    <w:rsid w:val="00D65A33"/>
    <w:rsid w:val="00D70F7D"/>
    <w:rsid w:val="00D73299"/>
    <w:rsid w:val="00DA2EF9"/>
    <w:rsid w:val="00E65FCB"/>
    <w:rsid w:val="00E8583E"/>
    <w:rsid w:val="00ED4344"/>
    <w:rsid w:val="00ED5157"/>
    <w:rsid w:val="00EF5DAD"/>
    <w:rsid w:val="00EF6446"/>
    <w:rsid w:val="00F07341"/>
    <w:rsid w:val="00F357EA"/>
    <w:rsid w:val="00FE54DA"/>
    <w:rsid w:val="00FE6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84273612-02D2-473C-8133-6AEE58D4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775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45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72F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10A7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775C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775C3"/>
    <w:rPr>
      <w:rFonts w:eastAsiaTheme="minorEastAsia"/>
      <w:lang w:val="en-US"/>
    </w:rPr>
  </w:style>
  <w:style w:type="character" w:customStyle="1" w:styleId="Heading1Char">
    <w:name w:val="Heading 1 Char"/>
    <w:basedOn w:val="DefaultParagraphFont"/>
    <w:link w:val="Heading1"/>
    <w:uiPriority w:val="9"/>
    <w:rsid w:val="007775C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775C3"/>
    <w:pPr>
      <w:outlineLvl w:val="9"/>
    </w:pPr>
    <w:rPr>
      <w:lang w:val="en-US"/>
    </w:rPr>
  </w:style>
  <w:style w:type="paragraph" w:styleId="TOC1">
    <w:name w:val="toc 1"/>
    <w:basedOn w:val="Normal"/>
    <w:next w:val="Normal"/>
    <w:autoRedefine/>
    <w:uiPriority w:val="39"/>
    <w:unhideWhenUsed/>
    <w:rsid w:val="00A464C1"/>
    <w:pPr>
      <w:tabs>
        <w:tab w:val="left" w:pos="440"/>
        <w:tab w:val="right" w:leader="dot" w:pos="9016"/>
      </w:tabs>
      <w:spacing w:after="100"/>
    </w:pPr>
  </w:style>
  <w:style w:type="character" w:styleId="Hyperlink">
    <w:name w:val="Hyperlink"/>
    <w:basedOn w:val="DefaultParagraphFont"/>
    <w:uiPriority w:val="99"/>
    <w:unhideWhenUsed/>
    <w:rsid w:val="007775C3"/>
    <w:rPr>
      <w:color w:val="0563C1" w:themeColor="hyperlink"/>
      <w:u w:val="single"/>
    </w:rPr>
  </w:style>
  <w:style w:type="character" w:customStyle="1" w:styleId="Heading2Char">
    <w:name w:val="Heading 2 Char"/>
    <w:basedOn w:val="DefaultParagraphFont"/>
    <w:link w:val="Heading2"/>
    <w:uiPriority w:val="9"/>
    <w:rsid w:val="007775C3"/>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70F7D"/>
    <w:pPr>
      <w:tabs>
        <w:tab w:val="right" w:leader="dot" w:pos="9016"/>
      </w:tabs>
      <w:spacing w:after="100"/>
      <w:ind w:left="220"/>
    </w:pPr>
  </w:style>
  <w:style w:type="paragraph" w:customStyle="1" w:styleId="NumberedHeading">
    <w:name w:val="Numbered Heading"/>
    <w:basedOn w:val="Heading1"/>
    <w:link w:val="NumberedHeadingChar"/>
    <w:qFormat/>
    <w:rsid w:val="003A45FB"/>
  </w:style>
  <w:style w:type="paragraph" w:styleId="Header">
    <w:name w:val="header"/>
    <w:basedOn w:val="Normal"/>
    <w:link w:val="HeaderChar"/>
    <w:uiPriority w:val="99"/>
    <w:unhideWhenUsed/>
    <w:rsid w:val="00D70F7D"/>
    <w:pPr>
      <w:tabs>
        <w:tab w:val="center" w:pos="4513"/>
        <w:tab w:val="right" w:pos="9026"/>
      </w:tabs>
      <w:spacing w:after="0" w:line="240" w:lineRule="auto"/>
    </w:pPr>
  </w:style>
  <w:style w:type="character" w:customStyle="1" w:styleId="NumberedHeadingChar">
    <w:name w:val="Numbered Heading Char"/>
    <w:basedOn w:val="Heading1Char"/>
    <w:link w:val="NumberedHeading"/>
    <w:rsid w:val="003A45FB"/>
    <w:rPr>
      <w:rFonts w:asciiTheme="majorHAnsi" w:eastAsiaTheme="majorEastAsia" w:hAnsiTheme="majorHAnsi" w:cstheme="majorBidi"/>
      <w:color w:val="2E74B5" w:themeColor="accent1" w:themeShade="BF"/>
      <w:sz w:val="32"/>
      <w:szCs w:val="32"/>
    </w:rPr>
  </w:style>
  <w:style w:type="character" w:customStyle="1" w:styleId="HeaderChar">
    <w:name w:val="Header Char"/>
    <w:basedOn w:val="DefaultParagraphFont"/>
    <w:link w:val="Header"/>
    <w:uiPriority w:val="99"/>
    <w:rsid w:val="00D70F7D"/>
  </w:style>
  <w:style w:type="paragraph" w:styleId="Footer">
    <w:name w:val="footer"/>
    <w:basedOn w:val="Normal"/>
    <w:link w:val="FooterChar"/>
    <w:uiPriority w:val="99"/>
    <w:unhideWhenUsed/>
    <w:rsid w:val="00D70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F7D"/>
  </w:style>
  <w:style w:type="character" w:customStyle="1" w:styleId="Heading3Char">
    <w:name w:val="Heading 3 Char"/>
    <w:basedOn w:val="DefaultParagraphFont"/>
    <w:link w:val="Heading3"/>
    <w:uiPriority w:val="9"/>
    <w:rsid w:val="00672FD8"/>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672FD8"/>
    <w:pPr>
      <w:ind w:left="720"/>
      <w:contextualSpacing/>
    </w:pPr>
  </w:style>
  <w:style w:type="paragraph" w:customStyle="1" w:styleId="Text">
    <w:name w:val="Text"/>
    <w:basedOn w:val="Normal"/>
    <w:rsid w:val="007B1253"/>
    <w:pPr>
      <w:overflowPunct w:val="0"/>
      <w:autoSpaceDE w:val="0"/>
      <w:autoSpaceDN w:val="0"/>
      <w:adjustRightInd w:val="0"/>
      <w:spacing w:after="260" w:line="240" w:lineRule="auto"/>
      <w:jc w:val="both"/>
      <w:textAlignment w:val="baseline"/>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7803DF"/>
    <w:rPr>
      <w:color w:val="954F72" w:themeColor="followedHyperlink"/>
      <w:u w:val="single"/>
    </w:rPr>
  </w:style>
  <w:style w:type="paragraph" w:styleId="BalloonText">
    <w:name w:val="Balloon Text"/>
    <w:basedOn w:val="Normal"/>
    <w:link w:val="BalloonTextChar"/>
    <w:uiPriority w:val="99"/>
    <w:semiHidden/>
    <w:unhideWhenUsed/>
    <w:rsid w:val="000A4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DA5"/>
    <w:rPr>
      <w:rFonts w:ascii="Segoe UI" w:hAnsi="Segoe UI" w:cs="Segoe UI"/>
      <w:sz w:val="18"/>
      <w:szCs w:val="18"/>
    </w:rPr>
  </w:style>
  <w:style w:type="character" w:customStyle="1" w:styleId="Heading4Char">
    <w:name w:val="Heading 4 Char"/>
    <w:basedOn w:val="DefaultParagraphFont"/>
    <w:link w:val="Heading4"/>
    <w:uiPriority w:val="9"/>
    <w:rsid w:val="00810A7A"/>
    <w:rPr>
      <w:rFonts w:asciiTheme="majorHAnsi" w:eastAsiaTheme="majorEastAsia" w:hAnsiTheme="majorHAnsi" w:cstheme="majorBidi"/>
      <w:i/>
      <w:iCs/>
      <w:color w:val="2E74B5" w:themeColor="accent1" w:themeShade="BF"/>
    </w:rPr>
  </w:style>
  <w:style w:type="character" w:styleId="Strong">
    <w:name w:val="Strong"/>
    <w:qFormat/>
    <w:rsid w:val="004D3E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ouise.stratton@admin.ox.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se.gov.uk/coshh/index.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in.ox.ac.uk/finance/processes/assurance/financialcontrolindicato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dmin.ox.ac.uk/finance/financialregulation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B09A0-A003-4A93-A5F7-354F18451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Stock Provision, Write Off and Disposals Policy</vt:lpstr>
    </vt:vector>
  </TitlesOfParts>
  <Company>University of Oxford</Company>
  <LinksUpToDate>false</LinksUpToDate>
  <CharactersWithSpaces>11001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Stock Provision, Write Off and Disposals Policy</dc:title>
  <dc:subject>University of Oxford</dc:subject>
  <dc:creator>Daniel Tucker</dc:creator>
  <cp:keywords/>
  <dc:description/>
  <cp:lastModifiedBy>Matthew French</cp:lastModifiedBy>
  <cp:revision>3</cp:revision>
  <cp:lastPrinted>2017-08-02T11:22:00Z</cp:lastPrinted>
  <dcterms:created xsi:type="dcterms:W3CDTF">2019-03-19T11:03:00Z</dcterms:created>
  <dcterms:modified xsi:type="dcterms:W3CDTF">2019-03-19T11:04:00Z</dcterms:modified>
</cp:coreProperties>
</file>