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E7" w:rsidRPr="008F0A94" w:rsidRDefault="00B926E7" w:rsidP="00FB4928">
      <w:pPr>
        <w:pStyle w:val="Heading1"/>
        <w:ind w:left="-567"/>
        <w:rPr>
          <w:rFonts w:asciiTheme="minorHAnsi" w:hAnsiTheme="minorHAnsi"/>
          <w:lang w:val="en-GB"/>
        </w:rPr>
      </w:pPr>
      <w:r w:rsidRPr="008F0A94">
        <w:rPr>
          <w:rFonts w:asciiTheme="minorHAnsi" w:hAnsiTheme="minorHAnsi"/>
          <w:lang w:val="en-GB"/>
        </w:rPr>
        <w:t xml:space="preserve">KEY DATES FOR </w:t>
      </w:r>
      <w:r w:rsidR="00D57106">
        <w:rPr>
          <w:rFonts w:asciiTheme="minorHAnsi" w:hAnsiTheme="minorHAnsi"/>
          <w:lang w:val="en-GB"/>
        </w:rPr>
        <w:t>2019/20</w:t>
      </w:r>
      <w:r w:rsidRPr="008F0A94">
        <w:rPr>
          <w:rFonts w:asciiTheme="minorHAnsi" w:hAnsiTheme="minorHAnsi"/>
          <w:lang w:val="en-GB"/>
        </w:rPr>
        <w:t xml:space="preserve"> FINANCE YEAR END</w:t>
      </w:r>
      <w:r w:rsidR="00AC2AE0" w:rsidRPr="008F0A94">
        <w:rPr>
          <w:rFonts w:asciiTheme="minorHAnsi" w:hAnsiTheme="minorHAnsi"/>
          <w:lang w:val="en-GB"/>
        </w:rPr>
        <w:t xml:space="preserve"> </w:t>
      </w:r>
    </w:p>
    <w:p w:rsidR="00B926E7" w:rsidRPr="008F0A94" w:rsidRDefault="00B926E7" w:rsidP="00FB4928">
      <w:pPr>
        <w:ind w:left="-567"/>
        <w:jc w:val="both"/>
        <w:rPr>
          <w:rFonts w:asciiTheme="minorHAnsi" w:hAnsiTheme="minorHAnsi"/>
          <w:sz w:val="22"/>
          <w:szCs w:val="22"/>
          <w:lang w:val="en-GB"/>
        </w:rPr>
      </w:pPr>
      <w:r w:rsidRPr="008F0A94">
        <w:rPr>
          <w:rFonts w:asciiTheme="minorHAnsi" w:hAnsiTheme="minorHAnsi"/>
          <w:sz w:val="22"/>
          <w:szCs w:val="22"/>
          <w:lang w:val="en-GB"/>
        </w:rPr>
        <w:t xml:space="preserve">The table below shows key timetable deadlines for </w:t>
      </w:r>
      <w:r w:rsidR="006D3E18">
        <w:rPr>
          <w:rFonts w:asciiTheme="minorHAnsi" w:hAnsiTheme="minorHAnsi"/>
          <w:sz w:val="22"/>
          <w:szCs w:val="22"/>
          <w:lang w:val="en-GB"/>
        </w:rPr>
        <w:t>201</w:t>
      </w:r>
      <w:r w:rsidR="00D57106">
        <w:rPr>
          <w:rFonts w:asciiTheme="minorHAnsi" w:hAnsiTheme="minorHAnsi"/>
          <w:sz w:val="22"/>
          <w:szCs w:val="22"/>
          <w:lang w:val="en-GB"/>
        </w:rPr>
        <w:t>9</w:t>
      </w:r>
      <w:r w:rsidR="006D3E18">
        <w:rPr>
          <w:rFonts w:asciiTheme="minorHAnsi" w:hAnsiTheme="minorHAnsi"/>
          <w:sz w:val="22"/>
          <w:szCs w:val="22"/>
          <w:lang w:val="en-GB"/>
        </w:rPr>
        <w:t>/</w:t>
      </w:r>
      <w:r w:rsidR="00D57106">
        <w:rPr>
          <w:rFonts w:asciiTheme="minorHAnsi" w:hAnsiTheme="minorHAnsi"/>
          <w:sz w:val="22"/>
          <w:szCs w:val="22"/>
          <w:lang w:val="en-GB"/>
        </w:rPr>
        <w:t>20</w:t>
      </w:r>
      <w:r w:rsidRPr="008F0A94">
        <w:rPr>
          <w:rFonts w:asciiTheme="minorHAnsi" w:hAnsiTheme="minorHAnsi"/>
          <w:sz w:val="22"/>
          <w:szCs w:val="22"/>
          <w:lang w:val="en-GB"/>
        </w:rPr>
        <w:t>. There may be minor changes to dates but no major changes are expected. Any changes will be communicated.</w:t>
      </w:r>
    </w:p>
    <w:p w:rsidR="008F0A94" w:rsidRPr="008F0A94" w:rsidRDefault="008F0A94" w:rsidP="00FB4928">
      <w:pPr>
        <w:ind w:left="-567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100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7421"/>
      </w:tblGrid>
      <w:tr w:rsidR="00B926E7" w:rsidRPr="008F0A94" w:rsidTr="00FB4928">
        <w:trPr>
          <w:trHeight w:val="423"/>
          <w:tblHeader/>
        </w:trPr>
        <w:tc>
          <w:tcPr>
            <w:tcW w:w="2671" w:type="dxa"/>
          </w:tcPr>
          <w:p w:rsidR="00B926E7" w:rsidRPr="008F0A94" w:rsidRDefault="00B926E7" w:rsidP="006D3E18">
            <w:pPr>
              <w:spacing w:after="60"/>
              <w:ind w:left="616" w:right="-1134" w:hanging="616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Deadline </w:t>
            </w:r>
            <w:r w:rsidR="00D57106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2019/20</w:t>
            </w:r>
          </w:p>
          <w:p w:rsidR="00B926E7" w:rsidRPr="008F0A94" w:rsidRDefault="00B926E7" w:rsidP="006D3E18">
            <w:pPr>
              <w:spacing w:after="60"/>
              <w:ind w:left="616" w:right="-1134" w:hanging="616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Year End</w:t>
            </w:r>
          </w:p>
        </w:tc>
        <w:tc>
          <w:tcPr>
            <w:tcW w:w="7421" w:type="dxa"/>
          </w:tcPr>
          <w:p w:rsidR="00B926E7" w:rsidRPr="008F0A94" w:rsidRDefault="00B926E7" w:rsidP="006D3E18">
            <w:pPr>
              <w:spacing w:after="60"/>
              <w:ind w:left="-195" w:right="-1034" w:firstLine="181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Description of Deadline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June–mid July</w:t>
            </w:r>
          </w:p>
          <w:p w:rsidR="00D57106" w:rsidRPr="008F0A94" w:rsidRDefault="00D57106" w:rsidP="00134A77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June soft close on key areas to ensure on track:</w:t>
            </w:r>
          </w:p>
          <w:p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to review progress on key departmental accounts to ensure problem areas are being addressed by departments before the year end (e.g. donations, endowment spend, suspense accounts, external trading accounts).</w:t>
            </w:r>
          </w:p>
          <w:p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to cleanse system of purchase orders currently set to 'Open' and which are no longer required.</w:t>
            </w:r>
          </w:p>
          <w:p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 xml:space="preserve"> review spend and claims on departmental and research projects</w:t>
            </w:r>
          </w:p>
          <w:p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Finance Division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to complete 10 month close in areas where practical (e.g. equipment additions, FA projects etc). </w:t>
            </w:r>
          </w:p>
          <w:p w:rsidR="00D57106" w:rsidRPr="007A67A9" w:rsidRDefault="00D57106" w:rsidP="00134A77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Finance Division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to </w:t>
            </w:r>
            <w:r w:rsidRPr="008F0A9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complete detailed review of OUT trading accounts and balance sheet to identify mismatches 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407052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13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July</w:t>
            </w: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Weekly year-end update emails to departments start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D52E3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31 July</w:t>
            </w:r>
          </w:p>
        </w:tc>
        <w:tc>
          <w:tcPr>
            <w:tcW w:w="7421" w:type="dxa"/>
          </w:tcPr>
          <w:p w:rsidR="00D57106" w:rsidRDefault="00D57106" w:rsidP="00273F48">
            <w:pPr>
              <w:spacing w:after="6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Year End</w:t>
            </w:r>
          </w:p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Deadline for year-end departmental operational checks for completeness of transactions (e.g. all sales invoices issued) and check/resolution of errors with sub-modules (e.g. invoices on hold, balances to clear on research pre-award and suspense accounts).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7A67A9">
              <w:rPr>
                <w:rFonts w:asciiTheme="minorHAnsi" w:hAnsiTheme="minorHAnsi" w:cs="Arial"/>
                <w:sz w:val="20"/>
                <w:szCs w:val="20"/>
                <w:lang w:val="en-GB"/>
              </w:rPr>
              <w:t>1–6 August</w:t>
            </w:r>
          </w:p>
        </w:tc>
        <w:tc>
          <w:tcPr>
            <w:tcW w:w="7421" w:type="dxa"/>
          </w:tcPr>
          <w:p w:rsidR="00D57106" w:rsidRPr="008F0A94" w:rsidRDefault="00D57106" w:rsidP="00D57106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Close all modules for July 20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20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except General Ledger &amp;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ixed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A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ssets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7D768C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34A77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6 August</w:t>
            </w: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Projects module closed to departments (3 pm)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D57106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34A77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1</w:t>
            </w:r>
            <w:r w:rsidR="00F17220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4</w:t>
            </w:r>
            <w:bookmarkStart w:id="0" w:name="_GoBack"/>
            <w:bookmarkEnd w:id="0"/>
            <w:r w:rsidRPr="00134A77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7421" w:type="dxa"/>
          </w:tcPr>
          <w:p w:rsidR="00D57106" w:rsidRDefault="00D57106" w:rsidP="00B926E7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Deadline for departmental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projects 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returns to the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Year End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Team (e.g. accruals, prepayments)</w:t>
            </w:r>
          </w:p>
          <w:p w:rsidR="00D57106" w:rsidRPr="008F0A94" w:rsidRDefault="00D57106" w:rsidP="00273F48">
            <w:pPr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Deadline for preparation of reconciliations of departmental General ledger accruals and prepayments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EE0961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18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7421" w:type="dxa"/>
          </w:tcPr>
          <w:p w:rsidR="00D57106" w:rsidRPr="008F0A94" w:rsidRDefault="00D57106" w:rsidP="00597130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General Ledger closed to departments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134A77" w:rsidRDefault="00D57106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1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7421" w:type="dxa"/>
          </w:tcPr>
          <w:p w:rsidR="00D57106" w:rsidRPr="008F0A94" w:rsidRDefault="00D57106" w:rsidP="006A2BC7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 w:eastAsia="en-GB"/>
              </w:rPr>
              <w:t>Departmental adjustments finished e.g. trusts – General Ledger closed</w:t>
            </w:r>
            <w:r w:rsidR="00F17220">
              <w:rPr>
                <w:rFonts w:asciiTheme="minorHAnsi" w:hAnsiTheme="minorHAnsi" w:cs="Arial"/>
                <w:sz w:val="20"/>
                <w:szCs w:val="20"/>
                <w:lang w:val="en-GB" w:eastAsia="en-GB"/>
              </w:rPr>
              <w:t xml:space="preserve"> and departments can run reports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134A77" w:rsidRDefault="00F17220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2</w:t>
            </w:r>
            <w:r w:rsidR="00D57106"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7421" w:type="dxa"/>
          </w:tcPr>
          <w:p w:rsidR="00D57106" w:rsidRPr="008F0A94" w:rsidRDefault="00D57106" w:rsidP="006A2BC7">
            <w:pPr>
              <w:spacing w:after="60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Finance Division to produce departmental accounts and distribute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lastRenderedPageBreak/>
              <w:t>Mid September</w:t>
            </w:r>
            <w:proofErr w:type="spellEnd"/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–end October</w:t>
            </w:r>
          </w:p>
        </w:tc>
        <w:tc>
          <w:tcPr>
            <w:tcW w:w="7421" w:type="dxa"/>
          </w:tcPr>
          <w:p w:rsidR="00D57106" w:rsidRDefault="00D57106" w:rsidP="00273F48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KPMG audit team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WORKING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– currently awaiting final details, and list of PBC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(but likely to be similar to prior periods)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. Once received, this can be divided up and targets set for completion. Some work may be completed at interim audit stage. </w:t>
            </w:r>
          </w:p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KPMG already have mentioned that due to the PIE status,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AND covid-19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their transaction work will nee</w:t>
            </w:r>
            <w:r w:rsidR="00F17220">
              <w:rPr>
                <w:rFonts w:asciiTheme="minorHAnsi" w:hAnsiTheme="minorHAnsi" w:cs="Arial"/>
                <w:sz w:val="20"/>
                <w:szCs w:val="20"/>
                <w:lang w:val="en-GB"/>
              </w:rPr>
              <w:t>d to be more detailed this year mainly for research transactions and miscellaneous income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30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7421" w:type="dxa"/>
          </w:tcPr>
          <w:p w:rsidR="00D57106" w:rsidRPr="008F0A94" w:rsidRDefault="00D57106" w:rsidP="00B926E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Departmental Checklist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,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Compliance return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Self Assurance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EE1C32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31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Finalisation of management letter and accounts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EE0961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8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November</w:t>
            </w:r>
          </w:p>
        </w:tc>
        <w:tc>
          <w:tcPr>
            <w:tcW w:w="7421" w:type="dxa"/>
          </w:tcPr>
          <w:p w:rsidR="00D57106" w:rsidRPr="008F0A94" w:rsidRDefault="00D57106" w:rsidP="00273F48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Signed accounts to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The Office for Students</w:t>
            </w: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421" w:type="dxa"/>
          </w:tcPr>
          <w:p w:rsidR="00D57106" w:rsidRPr="008F0A94" w:rsidRDefault="00D57106" w:rsidP="007A67A9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E01EDB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trike/>
                <w:sz w:val="20"/>
                <w:szCs w:val="20"/>
                <w:lang w:val="en-GB"/>
              </w:rPr>
            </w:pP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D57106" w:rsidRPr="008F0A94" w:rsidTr="00FB4928">
        <w:trPr>
          <w:tblHeader/>
        </w:trPr>
        <w:tc>
          <w:tcPr>
            <w:tcW w:w="2671" w:type="dxa"/>
          </w:tcPr>
          <w:p w:rsidR="00D57106" w:rsidRPr="008F0A94" w:rsidRDefault="00D57106" w:rsidP="00597130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421" w:type="dxa"/>
          </w:tcPr>
          <w:p w:rsidR="00D57106" w:rsidRPr="008F0A94" w:rsidRDefault="00D57106" w:rsidP="006D3E18">
            <w:pPr>
              <w:spacing w:after="60"/>
              <w:ind w:right="-672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B0479" w:rsidRPr="008F0A94" w:rsidRDefault="005B0479" w:rsidP="00D57106">
      <w:pPr>
        <w:keepNext/>
        <w:tabs>
          <w:tab w:val="left" w:pos="576"/>
          <w:tab w:val="left" w:pos="1152"/>
          <w:tab w:val="left" w:pos="1728"/>
          <w:tab w:val="left" w:pos="5760"/>
          <w:tab w:val="right" w:pos="7877"/>
        </w:tabs>
        <w:spacing w:before="360" w:after="120"/>
        <w:ind w:left="432" w:hanging="432"/>
        <w:outlineLvl w:val="0"/>
        <w:rPr>
          <w:rFonts w:asciiTheme="minorHAnsi" w:hAnsiTheme="minorHAnsi" w:cs="Arial"/>
        </w:rPr>
      </w:pPr>
    </w:p>
    <w:sectPr w:rsidR="005B0479" w:rsidRPr="008F0A94" w:rsidSect="007D768C">
      <w:footerReference w:type="defaul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A7" w:rsidRDefault="00392FA7" w:rsidP="00D141E0">
      <w:r>
        <w:separator/>
      </w:r>
    </w:p>
  </w:endnote>
  <w:endnote w:type="continuationSeparator" w:id="0">
    <w:p w:rsidR="00392FA7" w:rsidRDefault="00392FA7" w:rsidP="00D1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A7" w:rsidRDefault="00392F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A7" w:rsidRDefault="00392FA7" w:rsidP="00D141E0">
      <w:r>
        <w:separator/>
      </w:r>
    </w:p>
  </w:footnote>
  <w:footnote w:type="continuationSeparator" w:id="0">
    <w:p w:rsidR="00392FA7" w:rsidRDefault="00392FA7" w:rsidP="00D1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F56"/>
    <w:multiLevelType w:val="multilevel"/>
    <w:tmpl w:val="C316952E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E7"/>
    <w:rsid w:val="00025840"/>
    <w:rsid w:val="000504CA"/>
    <w:rsid w:val="000B11CD"/>
    <w:rsid w:val="001031EF"/>
    <w:rsid w:val="00134A77"/>
    <w:rsid w:val="0017030B"/>
    <w:rsid w:val="001B06AD"/>
    <w:rsid w:val="001B438B"/>
    <w:rsid w:val="001D7E4A"/>
    <w:rsid w:val="001F185F"/>
    <w:rsid w:val="00273F48"/>
    <w:rsid w:val="00274E03"/>
    <w:rsid w:val="00346F65"/>
    <w:rsid w:val="00392FA7"/>
    <w:rsid w:val="00407052"/>
    <w:rsid w:val="00485DAB"/>
    <w:rsid w:val="0049689D"/>
    <w:rsid w:val="004C49FC"/>
    <w:rsid w:val="004D01C8"/>
    <w:rsid w:val="004D5C09"/>
    <w:rsid w:val="00554B43"/>
    <w:rsid w:val="00597130"/>
    <w:rsid w:val="005B0479"/>
    <w:rsid w:val="005C0323"/>
    <w:rsid w:val="005D57FB"/>
    <w:rsid w:val="005E6EDE"/>
    <w:rsid w:val="00643C78"/>
    <w:rsid w:val="0069573B"/>
    <w:rsid w:val="006A2BC7"/>
    <w:rsid w:val="006D3E18"/>
    <w:rsid w:val="006E4EC2"/>
    <w:rsid w:val="00705408"/>
    <w:rsid w:val="00790128"/>
    <w:rsid w:val="007A67A9"/>
    <w:rsid w:val="007B198F"/>
    <w:rsid w:val="007D768C"/>
    <w:rsid w:val="00883A8E"/>
    <w:rsid w:val="008F0A94"/>
    <w:rsid w:val="00940498"/>
    <w:rsid w:val="00995F0E"/>
    <w:rsid w:val="009B55CD"/>
    <w:rsid w:val="00A46D58"/>
    <w:rsid w:val="00AC2AE0"/>
    <w:rsid w:val="00B926E7"/>
    <w:rsid w:val="00BA21D8"/>
    <w:rsid w:val="00C03208"/>
    <w:rsid w:val="00C14643"/>
    <w:rsid w:val="00C271F9"/>
    <w:rsid w:val="00C512E7"/>
    <w:rsid w:val="00CB130B"/>
    <w:rsid w:val="00CB4055"/>
    <w:rsid w:val="00CB5FEE"/>
    <w:rsid w:val="00CD6E6F"/>
    <w:rsid w:val="00D141E0"/>
    <w:rsid w:val="00D338C7"/>
    <w:rsid w:val="00D36E6A"/>
    <w:rsid w:val="00D40419"/>
    <w:rsid w:val="00D52E3E"/>
    <w:rsid w:val="00D57106"/>
    <w:rsid w:val="00DC3704"/>
    <w:rsid w:val="00E01EDB"/>
    <w:rsid w:val="00E01EE5"/>
    <w:rsid w:val="00E273D2"/>
    <w:rsid w:val="00E75780"/>
    <w:rsid w:val="00EE0961"/>
    <w:rsid w:val="00EE1C32"/>
    <w:rsid w:val="00F17220"/>
    <w:rsid w:val="00F218AB"/>
    <w:rsid w:val="00F3197F"/>
    <w:rsid w:val="00F661FB"/>
    <w:rsid w:val="00FB01C1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83F1"/>
  <w15:docId w15:val="{579F928D-0FDA-4A89-B3A1-9A649C7C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26E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6E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ListBullet">
    <w:name w:val="List Bullet"/>
    <w:basedOn w:val="Normal"/>
    <w:semiHidden/>
    <w:rsid w:val="00B926E7"/>
    <w:pPr>
      <w:numPr>
        <w:numId w:val="1"/>
      </w:numPr>
    </w:pPr>
  </w:style>
  <w:style w:type="paragraph" w:styleId="ListContinue">
    <w:name w:val="List Continue"/>
    <w:basedOn w:val="Normal"/>
    <w:semiHidden/>
    <w:rsid w:val="00B926E7"/>
    <w:pPr>
      <w:numPr>
        <w:ilvl w:val="1"/>
        <w:numId w:val="1"/>
      </w:numPr>
      <w:tabs>
        <w:tab w:val="left" w:pos="576"/>
      </w:tabs>
      <w:spacing w:after="240"/>
    </w:pPr>
  </w:style>
  <w:style w:type="paragraph" w:styleId="ListBullet2">
    <w:name w:val="List Bullet 2"/>
    <w:basedOn w:val="Normal"/>
    <w:semiHidden/>
    <w:rsid w:val="00B926E7"/>
    <w:pPr>
      <w:numPr>
        <w:ilvl w:val="2"/>
        <w:numId w:val="1"/>
      </w:numPr>
    </w:pPr>
  </w:style>
  <w:style w:type="paragraph" w:styleId="ListContinue2">
    <w:name w:val="List Continue 2"/>
    <w:basedOn w:val="Normal"/>
    <w:semiHidden/>
    <w:rsid w:val="00B926E7"/>
    <w:pPr>
      <w:numPr>
        <w:ilvl w:val="3"/>
        <w:numId w:val="1"/>
      </w:numPr>
      <w:tabs>
        <w:tab w:val="left" w:pos="576"/>
      </w:tabs>
      <w:spacing w:after="240"/>
    </w:pPr>
  </w:style>
  <w:style w:type="paragraph" w:styleId="Footer">
    <w:name w:val="footer"/>
    <w:basedOn w:val="Normal"/>
    <w:link w:val="FooterChar"/>
    <w:semiHidden/>
    <w:rsid w:val="00B926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926E7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27D3-E920-49AD-B946-4988684E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devo0077</dc:creator>
  <cp:lastModifiedBy>Ben Heath</cp:lastModifiedBy>
  <cp:revision>3</cp:revision>
  <cp:lastPrinted>2019-02-26T10:17:00Z</cp:lastPrinted>
  <dcterms:created xsi:type="dcterms:W3CDTF">2020-06-25T10:43:00Z</dcterms:created>
  <dcterms:modified xsi:type="dcterms:W3CDTF">2020-06-25T10:47:00Z</dcterms:modified>
</cp:coreProperties>
</file>