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F2" w:rsidRDefault="00F377EF">
      <w:pPr>
        <w:jc w:val="center"/>
        <w:rPr>
          <w:rFonts w:ascii="Arial" w:hAnsi="Arial"/>
          <w:b/>
          <w:bCs/>
          <w:i/>
          <w:iCs/>
          <w:sz w:val="40"/>
        </w:rPr>
      </w:pPr>
      <w:r>
        <w:rPr>
          <w:rFonts w:ascii="Arial" w:hAnsi="Arial"/>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7696200</wp:posOffset>
                </wp:positionH>
                <wp:positionV relativeFrom="paragraph">
                  <wp:posOffset>228600</wp:posOffset>
                </wp:positionV>
                <wp:extent cx="1830705" cy="1739265"/>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173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5E6" w:rsidRDefault="00E875E6">
                            <w:r>
                              <w:rPr>
                                <w:rFonts w:ascii="Arial" w:hAnsi="Arial"/>
                                <w:noProof/>
                                <w:lang w:eastAsia="en-GB"/>
                              </w:rPr>
                              <w:drawing>
                                <wp:inline distT="0" distB="0" distL="0" distR="0">
                                  <wp:extent cx="1638300" cy="1638300"/>
                                  <wp:effectExtent l="19050" t="0" r="0" b="0"/>
                                  <wp:docPr id="2" name="Picture 2" descr="ox_brand_blue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_brand_blue_rev"/>
                                          <pic:cNvPicPr>
                                            <a:picLocks noChangeAspect="1" noChangeArrowheads="1"/>
                                          </pic:cNvPicPr>
                                        </pic:nvPicPr>
                                        <pic:blipFill>
                                          <a:blip r:embed="rId7"/>
                                          <a:srcRect/>
                                          <a:stretch>
                                            <a:fillRect/>
                                          </a:stretch>
                                        </pic:blipFill>
                                        <pic:spPr bwMode="auto">
                                          <a:xfrm>
                                            <a:off x="0" y="0"/>
                                            <a:ext cx="1638300" cy="16383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6pt;margin-top:18pt;width:144.15pt;height:13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6fhAIAABA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" stroked="f">
                <v:textbox>
                  <w:txbxContent>
                    <w:p w:rsidR="00E875E6" w:rsidRDefault="00E875E6">
                      <w:r>
                        <w:rPr>
                          <w:rFonts w:ascii="Arial" w:hAnsi="Arial"/>
                          <w:noProof/>
                          <w:lang w:eastAsia="en-GB"/>
                        </w:rPr>
                        <w:drawing>
                          <wp:inline distT="0" distB="0" distL="0" distR="0">
                            <wp:extent cx="1638300" cy="1638300"/>
                            <wp:effectExtent l="19050" t="0" r="0" b="0"/>
                            <wp:docPr id="2" name="Picture 2" descr="ox_brand_blue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_brand_blue_rev"/>
                                    <pic:cNvPicPr>
                                      <a:picLocks noChangeAspect="1" noChangeArrowheads="1"/>
                                    </pic:cNvPicPr>
                                  </pic:nvPicPr>
                                  <pic:blipFill>
                                    <a:blip r:embed="rId8"/>
                                    <a:srcRect/>
                                    <a:stretch>
                                      <a:fillRect/>
                                    </a:stretch>
                                  </pic:blipFill>
                                  <pic:spPr bwMode="auto">
                                    <a:xfrm>
                                      <a:off x="0" y="0"/>
                                      <a:ext cx="1638300" cy="1638300"/>
                                    </a:xfrm>
                                    <a:prstGeom prst="rect">
                                      <a:avLst/>
                                    </a:prstGeom>
                                    <a:noFill/>
                                    <a:ln w="9525">
                                      <a:noFill/>
                                      <a:miter lim="800000"/>
                                      <a:headEnd/>
                                      <a:tailEnd/>
                                    </a:ln>
                                  </pic:spPr>
                                </pic:pic>
                              </a:graphicData>
                            </a:graphic>
                          </wp:inline>
                        </w:drawing>
                      </w:r>
                    </w:p>
                  </w:txbxContent>
                </v:textbox>
              </v:shape>
            </w:pict>
          </mc:Fallback>
        </mc:AlternateContent>
      </w:r>
    </w:p>
    <w:p w:rsidR="00132AF2" w:rsidRDefault="00132AF2">
      <w:pPr>
        <w:jc w:val="center"/>
        <w:rPr>
          <w:rFonts w:ascii="Arial" w:hAnsi="Arial"/>
          <w:b/>
          <w:bCs/>
          <w:i/>
          <w:iCs/>
          <w:sz w:val="40"/>
        </w:rPr>
      </w:pPr>
    </w:p>
    <w:p w:rsidR="00132AF2" w:rsidRDefault="00132AF2">
      <w:pPr>
        <w:jc w:val="center"/>
        <w:rPr>
          <w:rFonts w:ascii="Arial" w:hAnsi="Arial"/>
          <w:b/>
          <w:bCs/>
          <w:i/>
          <w:iCs/>
          <w:sz w:val="40"/>
        </w:rPr>
      </w:pPr>
    </w:p>
    <w:p w:rsidR="00132AF2" w:rsidRDefault="00132AF2">
      <w:pPr>
        <w:jc w:val="center"/>
        <w:rPr>
          <w:rFonts w:ascii="Arial" w:hAnsi="Arial"/>
          <w:b/>
          <w:bCs/>
          <w:i/>
          <w:iCs/>
          <w:sz w:val="40"/>
        </w:rPr>
      </w:pPr>
    </w:p>
    <w:p w:rsidR="00132AF2" w:rsidRDefault="00132AF2">
      <w:pPr>
        <w:jc w:val="center"/>
        <w:rPr>
          <w:rFonts w:ascii="Arial" w:hAnsi="Arial"/>
          <w:b/>
          <w:bCs/>
          <w:i/>
          <w:iCs/>
          <w:sz w:val="40"/>
        </w:rPr>
      </w:pPr>
    </w:p>
    <w:p w:rsidR="00132AF2" w:rsidRDefault="00132AF2">
      <w:pPr>
        <w:jc w:val="center"/>
        <w:rPr>
          <w:rFonts w:ascii="Arial" w:hAnsi="Arial"/>
          <w:b/>
          <w:bCs/>
          <w:i/>
          <w:iCs/>
          <w:sz w:val="40"/>
        </w:rPr>
      </w:pPr>
    </w:p>
    <w:p w:rsidR="00132AF2" w:rsidRPr="004815F3" w:rsidRDefault="00132AF2">
      <w:pPr>
        <w:jc w:val="center"/>
        <w:rPr>
          <w:rFonts w:ascii="FoundrySterling-MediumOSF" w:hAnsi="FoundrySterling-MediumOSF"/>
          <w:b/>
          <w:bCs/>
          <w:i/>
          <w:iCs/>
          <w:sz w:val="40"/>
        </w:rPr>
      </w:pPr>
      <w:r w:rsidRPr="004815F3">
        <w:rPr>
          <w:rFonts w:ascii="FoundrySterling-MediumOSF" w:hAnsi="FoundrySterling-MediumOSF"/>
          <w:b/>
          <w:bCs/>
          <w:i/>
          <w:iCs/>
          <w:sz w:val="40"/>
        </w:rPr>
        <w:t>Department</w:t>
      </w:r>
      <w:r w:rsidR="00B3318D">
        <w:rPr>
          <w:rFonts w:ascii="FoundrySterling-MediumOSF" w:hAnsi="FoundrySterling-MediumOSF"/>
          <w:b/>
          <w:bCs/>
          <w:i/>
          <w:iCs/>
          <w:sz w:val="40"/>
        </w:rPr>
        <w:t>al P11D Returns for Tax Year 2020</w:t>
      </w:r>
      <w:r w:rsidR="0097616E">
        <w:rPr>
          <w:rFonts w:ascii="FoundrySterling-MediumOSF" w:hAnsi="FoundrySterling-MediumOSF"/>
          <w:b/>
          <w:bCs/>
          <w:i/>
          <w:iCs/>
          <w:sz w:val="40"/>
        </w:rPr>
        <w:t>/</w:t>
      </w:r>
      <w:r w:rsidR="00B3318D">
        <w:rPr>
          <w:rFonts w:ascii="FoundrySterling-MediumOSF" w:hAnsi="FoundrySterling-MediumOSF"/>
          <w:b/>
          <w:bCs/>
          <w:i/>
          <w:iCs/>
          <w:sz w:val="40"/>
        </w:rPr>
        <w:t>2021</w:t>
      </w:r>
    </w:p>
    <w:p w:rsidR="00132AF2" w:rsidRPr="004815F3" w:rsidRDefault="00132AF2">
      <w:pPr>
        <w:jc w:val="both"/>
        <w:rPr>
          <w:rFonts w:ascii="FoundrySterling-MediumOSF" w:hAnsi="FoundrySterling-MediumOS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5529"/>
        <w:gridCol w:w="1701"/>
        <w:gridCol w:w="567"/>
        <w:gridCol w:w="622"/>
      </w:tblGrid>
      <w:tr w:rsidR="0091254E" w:rsidRPr="004815F3" w:rsidTr="0091254E">
        <w:trPr>
          <w:jc w:val="center"/>
        </w:trPr>
        <w:tc>
          <w:tcPr>
            <w:tcW w:w="2912" w:type="dxa"/>
          </w:tcPr>
          <w:p w:rsidR="0091254E" w:rsidRPr="004815F3" w:rsidRDefault="0091254E">
            <w:pPr>
              <w:tabs>
                <w:tab w:val="clear" w:pos="5760"/>
                <w:tab w:val="clear" w:pos="7877"/>
                <w:tab w:val="left" w:pos="2579"/>
              </w:tabs>
              <w:spacing w:before="120" w:after="120"/>
              <w:jc w:val="both"/>
              <w:rPr>
                <w:rFonts w:ascii="FoundrySterling-MediumOSF" w:hAnsi="FoundrySterling-MediumOSF"/>
                <w:b/>
                <w:bCs/>
                <w:sz w:val="28"/>
              </w:rPr>
            </w:pPr>
            <w:r w:rsidRPr="004815F3">
              <w:rPr>
                <w:rFonts w:ascii="FoundrySterling-MediumOSF" w:hAnsi="FoundrySterling-MediumOSF"/>
                <w:b/>
                <w:bCs/>
                <w:sz w:val="28"/>
              </w:rPr>
              <w:t>Department or Unit:</w:t>
            </w:r>
          </w:p>
        </w:tc>
        <w:tc>
          <w:tcPr>
            <w:tcW w:w="5529" w:type="dxa"/>
          </w:tcPr>
          <w:p w:rsidR="0091254E" w:rsidRPr="004815F3" w:rsidRDefault="0091254E">
            <w:pPr>
              <w:tabs>
                <w:tab w:val="clear" w:pos="5760"/>
                <w:tab w:val="clear" w:pos="7877"/>
                <w:tab w:val="left" w:pos="2579"/>
              </w:tabs>
              <w:spacing w:before="120" w:after="120"/>
              <w:jc w:val="both"/>
              <w:rPr>
                <w:rFonts w:ascii="FoundrySterling-MediumOSF" w:hAnsi="FoundrySterling-MediumOSF"/>
                <w:b/>
                <w:bCs/>
                <w:sz w:val="28"/>
              </w:rPr>
            </w:pPr>
          </w:p>
        </w:tc>
        <w:tc>
          <w:tcPr>
            <w:tcW w:w="1701" w:type="dxa"/>
          </w:tcPr>
          <w:p w:rsidR="0091254E" w:rsidRPr="004815F3" w:rsidRDefault="0091254E">
            <w:pPr>
              <w:tabs>
                <w:tab w:val="clear" w:pos="5760"/>
                <w:tab w:val="clear" w:pos="7877"/>
                <w:tab w:val="left" w:pos="2579"/>
              </w:tabs>
              <w:spacing w:before="120" w:after="120"/>
              <w:jc w:val="both"/>
              <w:rPr>
                <w:rFonts w:ascii="FoundrySterling-MediumOSF" w:hAnsi="FoundrySterling-MediumOSF"/>
                <w:b/>
                <w:bCs/>
                <w:sz w:val="28"/>
              </w:rPr>
            </w:pPr>
            <w:proofErr w:type="spellStart"/>
            <w:r w:rsidRPr="004815F3">
              <w:rPr>
                <w:rFonts w:ascii="FoundrySterling-MediumOSF" w:hAnsi="FoundrySterling-MediumOSF"/>
                <w:b/>
                <w:bCs/>
                <w:sz w:val="28"/>
              </w:rPr>
              <w:t>Dept</w:t>
            </w:r>
            <w:proofErr w:type="spellEnd"/>
            <w:r w:rsidRPr="004815F3">
              <w:rPr>
                <w:rFonts w:ascii="FoundrySterling-MediumOSF" w:hAnsi="FoundrySterling-MediumOSF"/>
                <w:b/>
                <w:bCs/>
                <w:sz w:val="28"/>
              </w:rPr>
              <w:t xml:space="preserve"> Code</w:t>
            </w:r>
          </w:p>
        </w:tc>
        <w:tc>
          <w:tcPr>
            <w:tcW w:w="567" w:type="dxa"/>
          </w:tcPr>
          <w:p w:rsidR="0091254E" w:rsidRPr="004815F3" w:rsidRDefault="0091254E">
            <w:pPr>
              <w:tabs>
                <w:tab w:val="clear" w:pos="5760"/>
                <w:tab w:val="clear" w:pos="7877"/>
                <w:tab w:val="left" w:pos="2579"/>
              </w:tabs>
              <w:spacing w:before="120" w:after="120"/>
              <w:jc w:val="both"/>
              <w:rPr>
                <w:rFonts w:ascii="FoundrySterling-MediumOSF" w:hAnsi="FoundrySterling-MediumOSF"/>
                <w:b/>
                <w:bCs/>
                <w:sz w:val="28"/>
              </w:rPr>
            </w:pPr>
          </w:p>
        </w:tc>
        <w:tc>
          <w:tcPr>
            <w:tcW w:w="622" w:type="dxa"/>
          </w:tcPr>
          <w:p w:rsidR="0091254E" w:rsidRPr="004815F3" w:rsidRDefault="0091254E">
            <w:pPr>
              <w:tabs>
                <w:tab w:val="clear" w:pos="5760"/>
                <w:tab w:val="clear" w:pos="7877"/>
                <w:tab w:val="left" w:pos="2579"/>
              </w:tabs>
              <w:spacing w:before="120" w:after="120"/>
              <w:jc w:val="both"/>
              <w:rPr>
                <w:rFonts w:ascii="FoundrySterling-MediumOSF" w:hAnsi="FoundrySterling-MediumOSF"/>
                <w:b/>
                <w:bCs/>
                <w:sz w:val="28"/>
              </w:rPr>
            </w:pPr>
          </w:p>
        </w:tc>
      </w:tr>
    </w:tbl>
    <w:p w:rsidR="00132AF2" w:rsidRPr="004815F3" w:rsidRDefault="00132AF2">
      <w:pPr>
        <w:tabs>
          <w:tab w:val="clear" w:pos="5760"/>
          <w:tab w:val="clear" w:pos="7877"/>
          <w:tab w:val="left" w:pos="2579"/>
        </w:tabs>
        <w:jc w:val="both"/>
        <w:rPr>
          <w:rFonts w:ascii="FoundrySterling-MediumOSF" w:hAnsi="FoundrySterling-MediumOSF"/>
          <w:b/>
          <w:bCs/>
        </w:rPr>
      </w:pPr>
    </w:p>
    <w:p w:rsidR="00132AF2" w:rsidRPr="004815F3" w:rsidRDefault="00132AF2">
      <w:pPr>
        <w:jc w:val="both"/>
        <w:rPr>
          <w:rFonts w:ascii="FoundrySterling-MediumOSF" w:hAnsi="FoundrySterling-MediumOSF"/>
        </w:rPr>
      </w:pPr>
    </w:p>
    <w:p w:rsidR="00132AF2" w:rsidRPr="004815F3" w:rsidRDefault="00132AF2">
      <w:pPr>
        <w:jc w:val="both"/>
        <w:rPr>
          <w:rFonts w:ascii="FoundrySterling-MediumOSF" w:hAnsi="FoundrySterling-MediumOSF"/>
        </w:rPr>
      </w:pPr>
    </w:p>
    <w:p w:rsidR="001A414B" w:rsidRDefault="00DF5EC8" w:rsidP="00DF5EC8">
      <w:pPr>
        <w:jc w:val="center"/>
        <w:rPr>
          <w:rFonts w:ascii="FoundrySterling-MediumOSF" w:hAnsi="FoundrySterling-MediumOSF"/>
          <w:b/>
          <w:sz w:val="20"/>
        </w:rPr>
      </w:pPr>
      <w:r w:rsidRPr="004815F3">
        <w:rPr>
          <w:rFonts w:ascii="FoundrySterling-MediumOSF" w:hAnsi="FoundrySterling-MediumOSF"/>
          <w:b/>
          <w:sz w:val="28"/>
          <w:szCs w:val="28"/>
        </w:rPr>
        <w:t xml:space="preserve">A signed declaration </w:t>
      </w:r>
      <w:r w:rsidR="00D02D02">
        <w:rPr>
          <w:rFonts w:ascii="FoundrySterling-MediumOSF" w:hAnsi="FoundrySterling-MediumOSF"/>
          <w:b/>
          <w:sz w:val="28"/>
          <w:szCs w:val="28"/>
        </w:rPr>
        <w:t xml:space="preserve">or email confirmation </w:t>
      </w:r>
      <w:r w:rsidRPr="004815F3">
        <w:rPr>
          <w:rFonts w:ascii="FoundrySterling-MediumOSF" w:hAnsi="FoundrySterling-MediumOSF"/>
          <w:b/>
          <w:sz w:val="28"/>
          <w:szCs w:val="28"/>
        </w:rPr>
        <w:t>is still required if you have no items to declare</w:t>
      </w:r>
      <w:r w:rsidRPr="004815F3">
        <w:rPr>
          <w:rFonts w:ascii="FoundrySterling-MediumOSF" w:hAnsi="FoundrySterling-MediumOSF"/>
          <w:b/>
          <w:sz w:val="20"/>
        </w:rPr>
        <w:t>.</w:t>
      </w:r>
      <w:r w:rsidR="001A414B">
        <w:rPr>
          <w:rFonts w:ascii="FoundrySterling-MediumOSF" w:hAnsi="FoundrySterling-MediumOSF"/>
          <w:b/>
          <w:sz w:val="20"/>
        </w:rPr>
        <w:t xml:space="preserve"> </w:t>
      </w:r>
    </w:p>
    <w:p w:rsidR="00132AF2" w:rsidRPr="001A414B" w:rsidRDefault="001A414B" w:rsidP="00DF5EC8">
      <w:pPr>
        <w:jc w:val="center"/>
        <w:rPr>
          <w:rFonts w:ascii="FoundrySterling-MediumOSF" w:hAnsi="FoundrySterling-MediumOSF"/>
          <w:b/>
          <w:sz w:val="28"/>
          <w:szCs w:val="28"/>
        </w:rPr>
      </w:pPr>
      <w:r w:rsidRPr="001A414B">
        <w:rPr>
          <w:rFonts w:ascii="FoundrySterling-MediumOSF" w:hAnsi="FoundrySterling-MediumOSF"/>
          <w:b/>
          <w:sz w:val="28"/>
          <w:szCs w:val="28"/>
        </w:rPr>
        <w:t>Please use alternative form provided for NIL RETURN.</w:t>
      </w:r>
      <w:r w:rsidR="00132AF2" w:rsidRPr="001A414B">
        <w:rPr>
          <w:rFonts w:ascii="FoundrySterling-MediumOSF" w:hAnsi="FoundrySterling-MediumOSF"/>
          <w:b/>
          <w:sz w:val="28"/>
          <w:szCs w:val="28"/>
        </w:rPr>
        <w:br w:type="page"/>
      </w:r>
    </w:p>
    <w:p w:rsidR="00132AF2" w:rsidRPr="004815F3" w:rsidRDefault="00132AF2">
      <w:pPr>
        <w:jc w:val="both"/>
        <w:rPr>
          <w:rFonts w:ascii="FoundrySterling-MediumOSF" w:hAnsi="FoundrySterling-MediumOSF"/>
          <w:b/>
          <w:bCs/>
        </w:rPr>
      </w:pPr>
      <w:r w:rsidRPr="004815F3">
        <w:rPr>
          <w:rFonts w:ascii="FoundrySterling-MediumOSF" w:hAnsi="FoundrySterling-MediumOSF"/>
          <w:b/>
          <w:bCs/>
        </w:rPr>
        <w:lastRenderedPageBreak/>
        <w:t>Introduction and Instructions for Completion:</w:t>
      </w:r>
    </w:p>
    <w:p w:rsidR="00BD3ACA" w:rsidRPr="004815F3" w:rsidRDefault="00132AF2">
      <w:pPr>
        <w:jc w:val="both"/>
        <w:rPr>
          <w:rFonts w:ascii="FoundrySterling-MediumOSF" w:hAnsi="FoundrySterling-MediumOSF"/>
          <w:b/>
        </w:rPr>
      </w:pPr>
      <w:r w:rsidRPr="004815F3">
        <w:rPr>
          <w:rFonts w:ascii="FoundrySterling-MediumOSF" w:hAnsi="FoundrySterling-MediumOSF"/>
        </w:rPr>
        <w:t xml:space="preserve">The University is required to complete P11D returns to </w:t>
      </w:r>
      <w:r w:rsidR="00D53963" w:rsidRPr="004815F3">
        <w:rPr>
          <w:rFonts w:ascii="FoundrySterling-MediumOSF" w:hAnsi="FoundrySterling-MediumOSF"/>
        </w:rPr>
        <w:t>HM</w:t>
      </w:r>
      <w:r w:rsidR="00954F05" w:rsidRPr="004815F3">
        <w:rPr>
          <w:rFonts w:ascii="FoundrySterling-MediumOSF" w:hAnsi="FoundrySterling-MediumOSF"/>
        </w:rPr>
        <w:t xml:space="preserve"> </w:t>
      </w:r>
      <w:r w:rsidR="00D53963" w:rsidRPr="004815F3">
        <w:rPr>
          <w:rFonts w:ascii="FoundrySterling-MediumOSF" w:hAnsi="FoundrySterling-MediumOSF"/>
        </w:rPr>
        <w:t>R</w:t>
      </w:r>
      <w:r w:rsidR="00954F05" w:rsidRPr="004815F3">
        <w:rPr>
          <w:rFonts w:ascii="FoundrySterling-MediumOSF" w:hAnsi="FoundrySterling-MediumOSF"/>
        </w:rPr>
        <w:t xml:space="preserve">evenue &amp; </w:t>
      </w:r>
      <w:r w:rsidR="00D53963" w:rsidRPr="004815F3">
        <w:rPr>
          <w:rFonts w:ascii="FoundrySterling-MediumOSF" w:hAnsi="FoundrySterling-MediumOSF"/>
        </w:rPr>
        <w:t>C</w:t>
      </w:r>
      <w:r w:rsidR="00954F05" w:rsidRPr="004815F3">
        <w:rPr>
          <w:rFonts w:ascii="FoundrySterling-MediumOSF" w:hAnsi="FoundrySterling-MediumOSF"/>
        </w:rPr>
        <w:t>ustoms (HMRC)</w:t>
      </w:r>
      <w:r w:rsidRPr="004815F3">
        <w:rPr>
          <w:rFonts w:ascii="FoundrySterling-MediumOSF" w:hAnsi="FoundrySterling-MediumOSF"/>
        </w:rPr>
        <w:t xml:space="preserve"> in respect of taxable </w:t>
      </w:r>
      <w:r w:rsidR="009879B5">
        <w:rPr>
          <w:rFonts w:ascii="FoundrySterling-MediumOSF" w:hAnsi="FoundrySterling-MediumOSF"/>
        </w:rPr>
        <w:t xml:space="preserve">expenses and/or </w:t>
      </w:r>
      <w:r w:rsidRPr="004815F3">
        <w:rPr>
          <w:rFonts w:ascii="FoundrySterling-MediumOSF" w:hAnsi="FoundrySterling-MediumOSF"/>
        </w:rPr>
        <w:t>benefits provided to its staff during t</w:t>
      </w:r>
      <w:r w:rsidR="006C06D3">
        <w:rPr>
          <w:rFonts w:ascii="FoundrySterling-MediumOSF" w:hAnsi="FoundrySterling-MediumOSF"/>
        </w:rPr>
        <w:t>h</w:t>
      </w:r>
      <w:r w:rsidR="00F97494">
        <w:rPr>
          <w:rFonts w:ascii="FoundrySterling-MediumOSF" w:hAnsi="FoundrySterling-MediumOSF"/>
        </w:rPr>
        <w:t>e tax year ending 5th April 2021</w:t>
      </w:r>
      <w:r w:rsidRPr="004815F3">
        <w:rPr>
          <w:rFonts w:ascii="FoundrySterling-MediumOSF" w:hAnsi="FoundrySterling-MediumOSF"/>
        </w:rPr>
        <w:t xml:space="preserve">. </w:t>
      </w:r>
      <w:r w:rsidR="00DF5EC8" w:rsidRPr="004815F3">
        <w:rPr>
          <w:rFonts w:ascii="FoundrySterling-MediumOSF" w:hAnsi="FoundrySterling-MediumOSF"/>
        </w:rPr>
        <w:t>For this information to</w:t>
      </w:r>
      <w:r w:rsidRPr="004815F3">
        <w:rPr>
          <w:rFonts w:ascii="FoundrySterling-MediumOSF" w:hAnsi="FoundrySterling-MediumOSF"/>
        </w:rPr>
        <w:t xml:space="preserve"> be gathered in a structured and consistent fo</w:t>
      </w:r>
      <w:r w:rsidR="00DF5EC8" w:rsidRPr="004815F3">
        <w:rPr>
          <w:rFonts w:ascii="FoundrySterling-MediumOSF" w:hAnsi="FoundrySterling-MediumOSF"/>
        </w:rPr>
        <w:t>rm, please will you complete this</w:t>
      </w:r>
      <w:r w:rsidRPr="004815F3">
        <w:rPr>
          <w:rFonts w:ascii="FoundrySterling-MediumOSF" w:hAnsi="FoundrySterling-MediumOSF"/>
        </w:rPr>
        <w:t xml:space="preserve"> return for your department or unit, sign and date it</w:t>
      </w:r>
      <w:r w:rsidR="00DF5EC8" w:rsidRPr="004815F3">
        <w:rPr>
          <w:rFonts w:ascii="FoundrySterling-MediumOSF" w:hAnsi="FoundrySterling-MediumOSF"/>
        </w:rPr>
        <w:t>,</w:t>
      </w:r>
      <w:r w:rsidRPr="004815F3">
        <w:rPr>
          <w:rFonts w:ascii="FoundrySterling-MediumOSF" w:hAnsi="FoundrySterling-MediumOSF"/>
        </w:rPr>
        <w:t xml:space="preserve"> </w:t>
      </w:r>
      <w:r w:rsidR="00DF5EC8" w:rsidRPr="004815F3">
        <w:rPr>
          <w:rFonts w:ascii="FoundrySterling-MediumOSF" w:hAnsi="FoundrySterling-MediumOSF"/>
        </w:rPr>
        <w:t>and</w:t>
      </w:r>
      <w:r w:rsidRPr="004815F3">
        <w:rPr>
          <w:rFonts w:ascii="FoundrySterling-MediumOSF" w:hAnsi="FoundrySterling-MediumOSF"/>
        </w:rPr>
        <w:t xml:space="preserve"> </w:t>
      </w:r>
      <w:r w:rsidRPr="00F33034">
        <w:rPr>
          <w:rFonts w:ascii="FoundrySterling-MediumOSF" w:hAnsi="FoundrySterling-MediumOSF"/>
          <w:b/>
        </w:rPr>
        <w:t>return it</w:t>
      </w:r>
      <w:r w:rsidR="00BD3ACA" w:rsidRPr="00F33034">
        <w:rPr>
          <w:rFonts w:ascii="FoundrySterling-MediumOSF" w:hAnsi="FoundrySterling-MediumOSF"/>
          <w:b/>
        </w:rPr>
        <w:t xml:space="preserve"> </w:t>
      </w:r>
      <w:r w:rsidR="000F710D" w:rsidRPr="00F33034">
        <w:rPr>
          <w:rFonts w:ascii="FoundrySterling-MediumOSF" w:hAnsi="FoundrySterling-MediumOSF"/>
          <w:b/>
        </w:rPr>
        <w:t>by email</w:t>
      </w:r>
      <w:r w:rsidR="00DC7734" w:rsidRPr="00F33034">
        <w:rPr>
          <w:rFonts w:ascii="FoundrySterling-MediumOSF" w:hAnsi="FoundrySterling-MediumOSF"/>
          <w:b/>
        </w:rPr>
        <w:t xml:space="preserve"> </w:t>
      </w:r>
      <w:r w:rsidR="007F5A3B">
        <w:rPr>
          <w:rFonts w:ascii="FoundrySterling-MediumOSF" w:hAnsi="FoundrySterling-MediumOSF"/>
          <w:b/>
        </w:rPr>
        <w:t xml:space="preserve">only </w:t>
      </w:r>
      <w:r w:rsidR="00DC7734" w:rsidRPr="00F33034">
        <w:rPr>
          <w:rFonts w:ascii="FoundrySterling-MediumOSF" w:hAnsi="FoundrySterling-MediumOSF"/>
          <w:b/>
        </w:rPr>
        <w:t xml:space="preserve">no later than </w:t>
      </w:r>
      <w:r w:rsidR="00B3318D">
        <w:rPr>
          <w:rFonts w:ascii="FoundrySterling-MediumOSF" w:hAnsi="FoundrySterling-MediumOSF"/>
          <w:b/>
        </w:rPr>
        <w:t>Friday 7th</w:t>
      </w:r>
      <w:r w:rsidR="00BD3ACA" w:rsidRPr="00F33034">
        <w:rPr>
          <w:rFonts w:ascii="FoundrySterling-MediumOSF" w:hAnsi="FoundrySterling-MediumOSF"/>
          <w:b/>
        </w:rPr>
        <w:t xml:space="preserve"> May</w:t>
      </w:r>
      <w:r w:rsidR="00B3318D">
        <w:rPr>
          <w:rFonts w:ascii="FoundrySterling-MediumOSF" w:hAnsi="FoundrySterling-MediumOSF"/>
          <w:b/>
        </w:rPr>
        <w:t xml:space="preserve"> 2021</w:t>
      </w:r>
      <w:r w:rsidR="00BD3ACA" w:rsidRPr="004815F3">
        <w:rPr>
          <w:rFonts w:ascii="FoundrySterling-MediumOSF" w:hAnsi="FoundrySterling-MediumOSF"/>
        </w:rPr>
        <w:t>;</w:t>
      </w:r>
    </w:p>
    <w:p w:rsidR="00BD3ACA" w:rsidRPr="004815F3" w:rsidRDefault="00DF5EC8">
      <w:pPr>
        <w:jc w:val="both"/>
        <w:rPr>
          <w:rFonts w:ascii="FoundrySterling-MediumOSF" w:hAnsi="FoundrySterling-MediumOSF"/>
          <w:b/>
        </w:rPr>
      </w:pPr>
      <w:proofErr w:type="gramStart"/>
      <w:r w:rsidRPr="004815F3">
        <w:rPr>
          <w:rFonts w:ascii="FoundrySterling-MediumOSF" w:hAnsi="FoundrySterling-MediumOSF"/>
          <w:b/>
        </w:rPr>
        <w:t>email</w:t>
      </w:r>
      <w:proofErr w:type="gramEnd"/>
      <w:r w:rsidRPr="004815F3">
        <w:rPr>
          <w:rFonts w:ascii="FoundrySterling-MediumOSF" w:hAnsi="FoundrySterling-MediumOSF"/>
          <w:b/>
        </w:rPr>
        <w:t xml:space="preserve"> as a .pdf document </w:t>
      </w:r>
      <w:r w:rsidR="00BD3ACA" w:rsidRPr="004815F3">
        <w:rPr>
          <w:rFonts w:ascii="FoundrySterling-MediumOSF" w:hAnsi="FoundrySterling-MediumOSF"/>
          <w:b/>
        </w:rPr>
        <w:t xml:space="preserve">to </w:t>
      </w:r>
      <w:hyperlink r:id="rId9" w:history="1">
        <w:r w:rsidR="000F710D" w:rsidRPr="00317D59">
          <w:rPr>
            <w:rStyle w:val="Hyperlink"/>
            <w:rFonts w:ascii="FoundrySterling-MediumOSF" w:hAnsi="FoundrySterling-MediumOSF"/>
            <w:b/>
          </w:rPr>
          <w:t>P11D</w:t>
        </w:r>
        <w:r w:rsidR="00BD3ACA" w:rsidRPr="00317D59">
          <w:rPr>
            <w:rStyle w:val="Hyperlink"/>
            <w:rFonts w:ascii="FoundrySterling-MediumOSF" w:hAnsi="FoundrySterling-MediumOSF"/>
            <w:b/>
          </w:rPr>
          <w:t>@admin.ox.ac.uk</w:t>
        </w:r>
      </w:hyperlink>
      <w:r w:rsidR="00BD3ACA" w:rsidRPr="004815F3">
        <w:rPr>
          <w:rFonts w:ascii="FoundrySterling-MediumOSF" w:hAnsi="FoundrySterling-MediumOSF"/>
          <w:b/>
        </w:rPr>
        <w:t xml:space="preserve"> </w:t>
      </w:r>
      <w:r w:rsidRPr="004815F3">
        <w:rPr>
          <w:rFonts w:ascii="FoundrySterling-MediumOSF" w:hAnsi="FoundrySterling-MediumOSF"/>
          <w:b/>
        </w:rPr>
        <w:t xml:space="preserve"> </w:t>
      </w:r>
    </w:p>
    <w:p w:rsidR="00132AF2" w:rsidRPr="004815F3" w:rsidRDefault="00132AF2">
      <w:pPr>
        <w:jc w:val="both"/>
        <w:rPr>
          <w:rFonts w:ascii="FoundrySterling-MediumOSF" w:hAnsi="FoundrySterling-MediumOSF"/>
        </w:rPr>
      </w:pPr>
      <w:r w:rsidRPr="004815F3">
        <w:rPr>
          <w:rFonts w:ascii="FoundrySterling-MediumOSF" w:hAnsi="FoundrySterling-MediumOSF"/>
        </w:rPr>
        <w:t>Please answer all of the questions as directed. Where further information is required</w:t>
      </w:r>
      <w:r w:rsidR="004C5EA0" w:rsidRPr="004815F3">
        <w:rPr>
          <w:rFonts w:ascii="FoundrySterling-MediumOSF" w:hAnsi="FoundrySterling-MediumOSF"/>
        </w:rPr>
        <w:t>,</w:t>
      </w:r>
      <w:r w:rsidRPr="004815F3">
        <w:rPr>
          <w:rFonts w:ascii="FoundrySterling-MediumOSF" w:hAnsi="FoundrySterling-MediumOSF"/>
        </w:rPr>
        <w:t xml:space="preserve"> this should be completed in the appropriate appendix. </w:t>
      </w:r>
      <w:r w:rsidRPr="004815F3">
        <w:rPr>
          <w:rFonts w:ascii="FoundrySterling-MediumOSF" w:hAnsi="FoundrySterling-MediumOSF"/>
          <w:b/>
          <w:bCs/>
        </w:rPr>
        <w:t>We only require you to return those appendices to which you have added information</w:t>
      </w:r>
      <w:r w:rsidRPr="004815F3">
        <w:rPr>
          <w:rFonts w:ascii="FoundrySterling-MediumOSF" w:hAnsi="FoundrySterling-MediumOSF"/>
        </w:rPr>
        <w:t>. Before comple</w:t>
      </w:r>
      <w:r w:rsidR="00DF5EC8" w:rsidRPr="004815F3">
        <w:rPr>
          <w:rFonts w:ascii="FoundrySterling-MediumOSF" w:hAnsi="FoundrySterling-MediumOSF"/>
        </w:rPr>
        <w:t>ting the declarations on page 9</w:t>
      </w:r>
      <w:r w:rsidRPr="004815F3">
        <w:rPr>
          <w:rFonts w:ascii="FoundrySterling-MediumOSF" w:hAnsi="FoundrySterling-MediumOSF"/>
        </w:rPr>
        <w:t>, please indicate which appendices you will be returning.</w:t>
      </w:r>
      <w:r w:rsidR="001A414B">
        <w:rPr>
          <w:rFonts w:ascii="FoundrySterling-MediumOSF" w:hAnsi="FoundrySterling-MediumOSF"/>
        </w:rPr>
        <w:t xml:space="preserve"> If you have nothing to report p</w:t>
      </w:r>
      <w:r w:rsidR="00F97494">
        <w:rPr>
          <w:rFonts w:ascii="FoundrySterling-MediumOSF" w:hAnsi="FoundrySterling-MediumOSF"/>
        </w:rPr>
        <w:t>lease read, sign and return the</w:t>
      </w:r>
      <w:r w:rsidR="001A414B">
        <w:rPr>
          <w:rFonts w:ascii="FoundrySterling-MediumOSF" w:hAnsi="FoundrySterling-MediumOSF"/>
        </w:rPr>
        <w:t xml:space="preserve"> alternative </w:t>
      </w:r>
      <w:r w:rsidR="00F97494">
        <w:rPr>
          <w:rFonts w:ascii="FoundrySterling-MediumOSF" w:hAnsi="FoundrySterling-MediumOSF"/>
        </w:rPr>
        <w:t xml:space="preserve">‘Nil Return’ </w:t>
      </w:r>
      <w:r w:rsidR="001A414B">
        <w:rPr>
          <w:rFonts w:ascii="FoundrySterling-MediumOSF" w:hAnsi="FoundrySterling-MediumOSF"/>
        </w:rPr>
        <w:t>fo</w:t>
      </w:r>
      <w:r w:rsidR="00F97494">
        <w:rPr>
          <w:rFonts w:ascii="FoundrySterling-MediumOSF" w:hAnsi="FoundrySterling-MediumOSF"/>
        </w:rPr>
        <w:t>rm</w:t>
      </w:r>
      <w:r w:rsidR="001A414B">
        <w:rPr>
          <w:rFonts w:ascii="FoundrySterling-MediumOSF" w:hAnsi="FoundrySterling-MediumOSF"/>
        </w:rPr>
        <w:t>.</w:t>
      </w:r>
    </w:p>
    <w:p w:rsidR="00132AF2" w:rsidRPr="004815F3" w:rsidRDefault="004C5EA0" w:rsidP="004C5EA0">
      <w:pPr>
        <w:jc w:val="both"/>
        <w:rPr>
          <w:rFonts w:ascii="FoundrySterling-MediumOSF" w:hAnsi="FoundrySterling-MediumOSF"/>
        </w:rPr>
      </w:pPr>
      <w:r w:rsidRPr="004815F3">
        <w:rPr>
          <w:rFonts w:ascii="FoundrySterling-MediumOSF" w:hAnsi="FoundrySterling-MediumOSF"/>
        </w:rPr>
        <w:t>If you have any questions relating to</w:t>
      </w:r>
      <w:r w:rsidR="00132AF2" w:rsidRPr="004815F3">
        <w:rPr>
          <w:rFonts w:ascii="FoundrySterling-MediumOSF" w:hAnsi="FoundrySterling-MediumOSF"/>
        </w:rPr>
        <w:t xml:space="preserve"> the completi</w:t>
      </w:r>
      <w:r w:rsidRPr="004815F3">
        <w:rPr>
          <w:rFonts w:ascii="FoundrySterling-MediumOSF" w:hAnsi="FoundrySterling-MediumOSF"/>
        </w:rPr>
        <w:t xml:space="preserve">on </w:t>
      </w:r>
      <w:r w:rsidR="001361B5">
        <w:rPr>
          <w:rFonts w:ascii="FoundrySterling-MediumOSF" w:hAnsi="FoundrySterling-MediumOSF"/>
        </w:rPr>
        <w:t xml:space="preserve">of this form, please contact </w:t>
      </w:r>
      <w:r w:rsidR="0097616E">
        <w:rPr>
          <w:rFonts w:ascii="FoundrySterling-MediumOSF" w:hAnsi="FoundrySterling-MediumOSF"/>
        </w:rPr>
        <w:t xml:space="preserve">Magda </w:t>
      </w:r>
      <w:proofErr w:type="spellStart"/>
      <w:r w:rsidR="0097616E">
        <w:rPr>
          <w:rFonts w:ascii="FoundrySterling-MediumOSF" w:hAnsi="FoundrySterling-MediumOSF"/>
        </w:rPr>
        <w:t>Koczan</w:t>
      </w:r>
      <w:proofErr w:type="spellEnd"/>
      <w:r w:rsidR="001361B5">
        <w:rPr>
          <w:rFonts w:ascii="FoundrySterling-MediumOSF" w:hAnsi="FoundrySterling-MediumOSF"/>
        </w:rPr>
        <w:t>,</w:t>
      </w:r>
      <w:r w:rsidR="006C06D3">
        <w:rPr>
          <w:rFonts w:ascii="FoundrySterling-MediumOSF" w:hAnsi="FoundrySterling-MediumOSF"/>
        </w:rPr>
        <w:t xml:space="preserve"> Senior P</w:t>
      </w:r>
      <w:r w:rsidR="0097616E">
        <w:rPr>
          <w:rFonts w:ascii="FoundrySterling-MediumOSF" w:hAnsi="FoundrySterling-MediumOSF"/>
        </w:rPr>
        <w:t>ay</w:t>
      </w:r>
      <w:r w:rsidR="006C06D3">
        <w:rPr>
          <w:rFonts w:ascii="FoundrySterling-MediumOSF" w:hAnsi="FoundrySterling-MediumOSF"/>
        </w:rPr>
        <w:t>roll</w:t>
      </w:r>
      <w:r w:rsidR="0097616E">
        <w:rPr>
          <w:rFonts w:ascii="FoundrySterling-MediumOSF" w:hAnsi="FoundrySterling-MediumOSF"/>
        </w:rPr>
        <w:t xml:space="preserve"> &amp; Benefits Officer</w:t>
      </w:r>
      <w:r w:rsidRPr="004815F3">
        <w:rPr>
          <w:rFonts w:ascii="FoundrySterling-MediumOSF" w:hAnsi="FoundrySterling-MediumOSF"/>
        </w:rPr>
        <w:t xml:space="preserve"> by email, </w:t>
      </w:r>
      <w:hyperlink r:id="rId10" w:history="1">
        <w:r w:rsidR="0097616E" w:rsidRPr="00771C42">
          <w:rPr>
            <w:rStyle w:val="Hyperlink"/>
            <w:rFonts w:ascii="FoundrySterling-MediumOSF" w:hAnsi="FoundrySterling-MediumOSF"/>
          </w:rPr>
          <w:t>magda.koczan@admin.ox.ac.uk</w:t>
        </w:r>
      </w:hyperlink>
    </w:p>
    <w:p w:rsidR="00132AF2" w:rsidRPr="004815F3" w:rsidRDefault="00132AF2">
      <w:pPr>
        <w:jc w:val="both"/>
        <w:rPr>
          <w:rFonts w:ascii="FoundrySterling-MediumOSF" w:hAnsi="FoundrySterling-MediumOSF"/>
        </w:rPr>
      </w:pPr>
      <w:r w:rsidRPr="004815F3">
        <w:rPr>
          <w:rFonts w:ascii="FoundrySterling-MediumOSF" w:hAnsi="FoundrySterling-MediumOSF"/>
        </w:rPr>
        <w:t>This document is available in an electronic version as a Microsoft Word document</w:t>
      </w:r>
      <w:r w:rsidR="00826A58" w:rsidRPr="004815F3">
        <w:rPr>
          <w:rFonts w:ascii="FoundrySterling-MediumOSF" w:hAnsi="FoundrySterling-MediumOSF"/>
        </w:rPr>
        <w:t xml:space="preserve"> at </w:t>
      </w:r>
      <w:hyperlink r:id="rId11" w:history="1">
        <w:r w:rsidR="00826A58" w:rsidRPr="001A414B">
          <w:rPr>
            <w:rStyle w:val="Hyperlink"/>
            <w:rFonts w:ascii="FoundrySterling-MediumOSF" w:hAnsi="FoundrySterling-MediumOSF"/>
            <w:b/>
          </w:rPr>
          <w:t>http://www.admin.ox.ac.uk/finance/processes/forms/payroll/#d.en.15382</w:t>
        </w:r>
      </w:hyperlink>
      <w:r w:rsidRPr="001A414B">
        <w:rPr>
          <w:rFonts w:ascii="FoundrySterling-MediumOSF" w:hAnsi="FoundrySterling-MediumOSF"/>
        </w:rPr>
        <w:t>.</w:t>
      </w:r>
      <w:r w:rsidRPr="004815F3">
        <w:rPr>
          <w:rFonts w:ascii="FoundrySterling-MediumOSF" w:hAnsi="FoundrySterling-MediumOSF"/>
        </w:rPr>
        <w:t xml:space="preserve"> In this version the web-links referred to in the text are active and should take you directly to the web pages indicated. </w:t>
      </w:r>
    </w:p>
    <w:p w:rsidR="00132AF2" w:rsidRPr="004815F3" w:rsidRDefault="00132AF2">
      <w:pPr>
        <w:jc w:val="both"/>
        <w:rPr>
          <w:rFonts w:ascii="FoundrySterling-MediumOSF" w:hAnsi="FoundrySterling-MediumOSF"/>
          <w:b/>
          <w:bCs/>
        </w:rPr>
      </w:pPr>
      <w:r w:rsidRPr="004815F3">
        <w:rPr>
          <w:rFonts w:ascii="FoundrySterling-MediumOSF" w:hAnsi="FoundrySterling-MediumOSF"/>
          <w:b/>
          <w:bCs/>
        </w:rPr>
        <w:t xml:space="preserve">The </w:t>
      </w:r>
      <w:r w:rsidR="00103BFA" w:rsidRPr="004815F3">
        <w:rPr>
          <w:rFonts w:ascii="FoundrySterling-MediumOSF" w:hAnsi="FoundrySterling-MediumOSF"/>
          <w:b/>
          <w:bCs/>
        </w:rPr>
        <w:t>Expenses Guide</w:t>
      </w:r>
      <w:r w:rsidRPr="004815F3">
        <w:rPr>
          <w:rFonts w:ascii="FoundrySterling-MediumOSF" w:hAnsi="FoundrySterling-MediumOSF"/>
          <w:b/>
          <w:bCs/>
        </w:rPr>
        <w:t>:</w:t>
      </w:r>
    </w:p>
    <w:p w:rsidR="00132AF2" w:rsidRPr="004815F3" w:rsidRDefault="00132AF2">
      <w:pPr>
        <w:jc w:val="both"/>
        <w:rPr>
          <w:rFonts w:ascii="FoundrySterling-MediumOSF" w:hAnsi="FoundrySterling-MediumOSF"/>
        </w:rPr>
      </w:pPr>
      <w:r w:rsidRPr="004815F3">
        <w:rPr>
          <w:rFonts w:ascii="FoundrySterling-MediumOSF" w:hAnsi="FoundrySterling-MediumOSF"/>
        </w:rPr>
        <w:t xml:space="preserve">The University’s </w:t>
      </w:r>
      <w:r w:rsidR="00103BFA" w:rsidRPr="004815F3">
        <w:rPr>
          <w:rFonts w:ascii="FoundrySterling-MediumOSF" w:hAnsi="FoundrySterling-MediumOSF"/>
        </w:rPr>
        <w:t>Expenses Guide</w:t>
      </w:r>
      <w:r w:rsidRPr="004815F3">
        <w:rPr>
          <w:rFonts w:ascii="FoundrySterling-MediumOSF" w:hAnsi="FoundrySterling-MediumOSF"/>
        </w:rPr>
        <w:t xml:space="preserve"> details all instances where payment to staff can be made without incurring a taxable benefit. This </w:t>
      </w:r>
      <w:r w:rsidR="00103BFA" w:rsidRPr="004815F3">
        <w:rPr>
          <w:rFonts w:ascii="FoundrySterling-MediumOSF" w:hAnsi="FoundrySterling-MediumOSF"/>
        </w:rPr>
        <w:t>guide</w:t>
      </w:r>
      <w:r w:rsidRPr="004815F3">
        <w:rPr>
          <w:rFonts w:ascii="FoundrySterling-MediumOSF" w:hAnsi="FoundrySterling-MediumOSF"/>
        </w:rPr>
        <w:t xml:space="preserve"> is available on-line at: </w:t>
      </w:r>
      <w:hyperlink r:id="rId12" w:history="1">
        <w:r w:rsidR="005601CF" w:rsidRPr="00EF4399">
          <w:rPr>
            <w:rStyle w:val="Hyperlink"/>
            <w:rFonts w:ascii="FoundrySterling-MediumOSF" w:hAnsi="FoundrySterling-MediumOSF"/>
          </w:rPr>
          <w:t>https://finance.admin.ox.ac.uk/departmental-expenses-guidance</w:t>
        </w:r>
      </w:hyperlink>
      <w:r w:rsidR="005601CF">
        <w:rPr>
          <w:rFonts w:ascii="FoundrySterling-MediumOSF" w:hAnsi="FoundrySterling-MediumOSF"/>
        </w:rPr>
        <w:t xml:space="preserve"> </w:t>
      </w:r>
    </w:p>
    <w:p w:rsidR="00132AF2" w:rsidRPr="004815F3" w:rsidRDefault="00132AF2">
      <w:pPr>
        <w:jc w:val="both"/>
        <w:rPr>
          <w:rFonts w:ascii="FoundrySterling-MediumOSF" w:hAnsi="FoundrySterling-MediumOSF"/>
        </w:rPr>
      </w:pPr>
      <w:r w:rsidRPr="004815F3">
        <w:rPr>
          <w:rFonts w:ascii="FoundrySterling-MediumOSF" w:hAnsi="FoundrySterling-MediumOSF"/>
        </w:rPr>
        <w:t xml:space="preserve">This </w:t>
      </w:r>
      <w:r w:rsidR="00103BFA" w:rsidRPr="004815F3">
        <w:rPr>
          <w:rFonts w:ascii="FoundrySterling-MediumOSF" w:hAnsi="FoundrySterling-MediumOSF"/>
        </w:rPr>
        <w:t>guide</w:t>
      </w:r>
      <w:r w:rsidRPr="004815F3">
        <w:rPr>
          <w:rFonts w:ascii="FoundrySterling-MediumOSF" w:hAnsi="FoundrySterling-MediumOSF"/>
        </w:rPr>
        <w:t xml:space="preserve"> is based upon detail submitted to </w:t>
      </w:r>
      <w:r w:rsidR="00D53963" w:rsidRPr="004815F3">
        <w:rPr>
          <w:rFonts w:ascii="FoundrySterling-MediumOSF" w:hAnsi="FoundrySterling-MediumOSF"/>
        </w:rPr>
        <w:t xml:space="preserve">HMRC </w:t>
      </w:r>
      <w:r w:rsidR="004C5EA0" w:rsidRPr="004815F3">
        <w:rPr>
          <w:rFonts w:ascii="FoundrySterling-MediumOSF" w:hAnsi="FoundrySterling-MediumOSF"/>
        </w:rPr>
        <w:t xml:space="preserve">in </w:t>
      </w:r>
      <w:r w:rsidR="004C5EA0" w:rsidRPr="000F710D">
        <w:rPr>
          <w:rFonts w:ascii="FoundrySterling-MediumOSF" w:hAnsi="FoundrySterling-MediumOSF"/>
        </w:rPr>
        <w:t>order to maintain</w:t>
      </w:r>
      <w:r w:rsidRPr="000F710D">
        <w:rPr>
          <w:rFonts w:ascii="FoundrySterling-MediumOSF" w:hAnsi="FoundrySterling-MediumOSF"/>
        </w:rPr>
        <w:t xml:space="preserve"> our P11D </w:t>
      </w:r>
      <w:r w:rsidR="00D66D5C" w:rsidRPr="000F710D">
        <w:rPr>
          <w:rFonts w:ascii="FoundrySterling-MediumOSF" w:hAnsi="FoundrySterling-MediumOSF"/>
        </w:rPr>
        <w:t>exemption</w:t>
      </w:r>
      <w:r w:rsidR="007873BF">
        <w:rPr>
          <w:rFonts w:ascii="FoundrySterling-MediumOSF" w:hAnsi="FoundrySterling-MediumOSF"/>
        </w:rPr>
        <w:t>s</w:t>
      </w:r>
      <w:r w:rsidRPr="004815F3">
        <w:rPr>
          <w:rFonts w:ascii="FoundrySterling-MediumOSF" w:hAnsi="FoundrySterling-MediumOSF"/>
        </w:rPr>
        <w:t xml:space="preserve">. Any payments made to or on behalf of individuals who are not covered by this </w:t>
      </w:r>
      <w:r w:rsidR="00103BFA" w:rsidRPr="004815F3">
        <w:rPr>
          <w:rFonts w:ascii="FoundrySterling-MediumOSF" w:hAnsi="FoundrySterling-MediumOSF"/>
        </w:rPr>
        <w:t>guide</w:t>
      </w:r>
      <w:r w:rsidRPr="004815F3">
        <w:rPr>
          <w:rFonts w:ascii="FoundrySterling-MediumOSF" w:hAnsi="FoundrySterling-MediumOSF"/>
        </w:rPr>
        <w:t xml:space="preserve"> or not paid already through the University payroll must be reported to </w:t>
      </w:r>
      <w:r w:rsidR="00D53963" w:rsidRPr="004815F3">
        <w:rPr>
          <w:rFonts w:ascii="FoundrySterling-MediumOSF" w:hAnsi="FoundrySterling-MediumOSF"/>
        </w:rPr>
        <w:t>HMRC</w:t>
      </w:r>
      <w:r w:rsidRPr="004815F3">
        <w:rPr>
          <w:rFonts w:ascii="FoundrySterling-MediumOSF" w:hAnsi="FoundrySterling-MediumOSF"/>
        </w:rPr>
        <w:t xml:space="preserve"> on form P11D as a taxable </w:t>
      </w:r>
      <w:r w:rsidR="00F33034">
        <w:rPr>
          <w:rFonts w:ascii="FoundrySterling-MediumOSF" w:hAnsi="FoundrySterling-MediumOSF"/>
        </w:rPr>
        <w:t>expense/</w:t>
      </w:r>
      <w:r w:rsidRPr="004815F3">
        <w:rPr>
          <w:rFonts w:ascii="FoundrySterling-MediumOSF" w:hAnsi="FoundrySterling-MediumOSF"/>
        </w:rPr>
        <w:t>benefit</w:t>
      </w:r>
      <w:r w:rsidRPr="000F710D">
        <w:rPr>
          <w:rFonts w:ascii="FoundrySterling-MediumOSF" w:hAnsi="FoundrySterling-MediumOSF"/>
        </w:rPr>
        <w:t>. This includes situations where a funding body agrees to cover costs that are not usually borne by the University.</w:t>
      </w:r>
    </w:p>
    <w:p w:rsidR="00132AF2" w:rsidRPr="004815F3" w:rsidRDefault="00132AF2">
      <w:pPr>
        <w:jc w:val="both"/>
        <w:rPr>
          <w:rFonts w:ascii="FoundrySterling-MediumOSF" w:hAnsi="FoundrySterling-MediumOSF"/>
          <w:b/>
          <w:bCs/>
        </w:rPr>
      </w:pPr>
      <w:r w:rsidRPr="004815F3">
        <w:rPr>
          <w:rFonts w:ascii="FoundrySterling-MediumOSF" w:hAnsi="FoundrySterling-MediumOSF"/>
          <w:b/>
          <w:bCs/>
        </w:rPr>
        <w:t>Late Returns:</w:t>
      </w:r>
    </w:p>
    <w:p w:rsidR="00132AF2" w:rsidRDefault="00132AF2">
      <w:pPr>
        <w:jc w:val="both"/>
        <w:rPr>
          <w:rFonts w:ascii="FoundrySterling-MediumOSF" w:hAnsi="FoundrySterling-MediumOSF"/>
          <w:b/>
          <w:bCs/>
        </w:rPr>
      </w:pPr>
      <w:r w:rsidRPr="004815F3">
        <w:rPr>
          <w:rFonts w:ascii="FoundrySterling-MediumOSF" w:hAnsi="FoundrySterling-MediumOSF"/>
        </w:rPr>
        <w:t>As there is a statutory obligation upon the University to submit a complete return within a set timescale you must ensure that a return has been mad</w:t>
      </w:r>
      <w:r w:rsidR="004C5EA0" w:rsidRPr="004815F3">
        <w:rPr>
          <w:rFonts w:ascii="FoundrySterling-MediumOSF" w:hAnsi="FoundrySterling-MediumOSF"/>
        </w:rPr>
        <w:t>e</w:t>
      </w:r>
      <w:r w:rsidR="00784132">
        <w:rPr>
          <w:rFonts w:ascii="FoundrySterling-MediumOSF" w:hAnsi="FoundrySterling-MediumOSF"/>
        </w:rPr>
        <w:t xml:space="preserve"> to us before the</w:t>
      </w:r>
      <w:r w:rsidR="00E63F23">
        <w:rPr>
          <w:rFonts w:ascii="FoundrySterling-MediumOSF" w:hAnsi="FoundrySterling-MediumOSF"/>
        </w:rPr>
        <w:t xml:space="preserve"> deadline of Friday 7th</w:t>
      </w:r>
      <w:r w:rsidRPr="004815F3">
        <w:rPr>
          <w:rFonts w:ascii="FoundrySterling-MediumOSF" w:hAnsi="FoundrySterling-MediumOSF"/>
        </w:rPr>
        <w:t xml:space="preserve"> May. </w:t>
      </w:r>
      <w:r w:rsidRPr="004815F3">
        <w:rPr>
          <w:rFonts w:ascii="FoundrySterling-MediumOSF" w:hAnsi="FoundrySterling-MediumOSF"/>
          <w:b/>
          <w:bCs/>
        </w:rPr>
        <w:t>In instances where late returns are made or no return is ma</w:t>
      </w:r>
      <w:r w:rsidR="00E875E6" w:rsidRPr="004815F3">
        <w:rPr>
          <w:rFonts w:ascii="FoundrySterling-MediumOSF" w:hAnsi="FoundrySterling-MediumOSF"/>
          <w:b/>
          <w:bCs/>
        </w:rPr>
        <w:t>de at all, a penalty charge may</w:t>
      </w:r>
      <w:r w:rsidRPr="004815F3">
        <w:rPr>
          <w:rFonts w:ascii="FoundrySterling-MediumOSF" w:hAnsi="FoundrySterling-MediumOSF"/>
          <w:b/>
          <w:bCs/>
        </w:rPr>
        <w:t xml:space="preserve"> be levied upon the defaulting department or unit to cover the cost of the extra administrative effort required obtaining the information and any resultant penalties or fines imposed by </w:t>
      </w:r>
      <w:r w:rsidR="007C5058" w:rsidRPr="004815F3">
        <w:rPr>
          <w:rFonts w:ascii="FoundrySterling-MediumOSF" w:hAnsi="FoundrySterling-MediumOSF"/>
          <w:b/>
          <w:bCs/>
        </w:rPr>
        <w:t>HMRC</w:t>
      </w:r>
      <w:r w:rsidRPr="004815F3">
        <w:rPr>
          <w:rFonts w:ascii="FoundrySterling-MediumOSF" w:hAnsi="FoundrySterling-MediumOSF"/>
          <w:b/>
          <w:bCs/>
        </w:rPr>
        <w:t>.</w:t>
      </w:r>
      <w:r w:rsidR="00EC72F1" w:rsidRPr="004815F3">
        <w:rPr>
          <w:rFonts w:ascii="FoundrySterling-MediumOSF" w:hAnsi="FoundrySterling-MediumOSF"/>
          <w:b/>
          <w:bCs/>
        </w:rPr>
        <w:t xml:space="preserve"> </w:t>
      </w:r>
    </w:p>
    <w:p w:rsidR="007873BF" w:rsidRPr="00826A58" w:rsidRDefault="007873BF">
      <w:pPr>
        <w:jc w:val="both"/>
        <w:rPr>
          <w:rFonts w:ascii="Trebuchet MS" w:hAnsi="Trebuchet MS"/>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2757"/>
        <w:gridCol w:w="1276"/>
      </w:tblGrid>
      <w:tr w:rsidR="00132AF2" w:rsidRPr="00826A58" w:rsidTr="00482303">
        <w:trPr>
          <w:cantSplit/>
          <w:trHeight w:val="530"/>
          <w:jc w:val="center"/>
        </w:trPr>
        <w:tc>
          <w:tcPr>
            <w:tcW w:w="534" w:type="dxa"/>
            <w:shd w:val="clear" w:color="auto" w:fill="FFFF66"/>
          </w:tcPr>
          <w:p w:rsidR="00132AF2" w:rsidRPr="00826A58" w:rsidRDefault="00132AF2">
            <w:pPr>
              <w:spacing w:before="120" w:after="120"/>
              <w:rPr>
                <w:rFonts w:ascii="Trebuchet MS" w:hAnsi="Trebuchet MS"/>
                <w:b/>
                <w:bCs/>
              </w:rPr>
            </w:pPr>
            <w:r w:rsidRPr="00826A58">
              <w:rPr>
                <w:rFonts w:ascii="Trebuchet MS" w:hAnsi="Trebuchet MS"/>
                <w:b/>
                <w:bCs/>
              </w:rPr>
              <w:lastRenderedPageBreak/>
              <w:t>1.</w:t>
            </w:r>
          </w:p>
        </w:tc>
        <w:tc>
          <w:tcPr>
            <w:tcW w:w="14033" w:type="dxa"/>
            <w:gridSpan w:val="2"/>
            <w:shd w:val="clear" w:color="auto" w:fill="FFFF66"/>
          </w:tcPr>
          <w:p w:rsidR="00132AF2" w:rsidRPr="00826A58" w:rsidRDefault="00132AF2">
            <w:pPr>
              <w:spacing w:before="120" w:after="120"/>
              <w:rPr>
                <w:rFonts w:ascii="Trebuchet MS" w:hAnsi="Trebuchet MS"/>
                <w:sz w:val="20"/>
              </w:rPr>
            </w:pPr>
            <w:r w:rsidRPr="00826A58">
              <w:rPr>
                <w:rFonts w:ascii="Trebuchet MS" w:hAnsi="Trebuchet MS"/>
                <w:b/>
                <w:bCs/>
              </w:rPr>
              <w:t>Telecommunications charges</w:t>
            </w:r>
            <w:r w:rsidR="009521A7">
              <w:rPr>
                <w:rFonts w:ascii="Trebuchet MS" w:hAnsi="Trebuchet MS"/>
                <w:sz w:val="20"/>
              </w:rPr>
              <w:t xml:space="preserve"> – including </w:t>
            </w:r>
            <w:r w:rsidR="00BA7C58">
              <w:rPr>
                <w:rFonts w:ascii="Trebuchet MS" w:hAnsi="Trebuchet MS"/>
                <w:sz w:val="20"/>
              </w:rPr>
              <w:t xml:space="preserve">mobile </w:t>
            </w:r>
            <w:r w:rsidRPr="00826A58">
              <w:rPr>
                <w:rFonts w:ascii="Trebuchet MS" w:hAnsi="Trebuchet MS"/>
                <w:sz w:val="20"/>
              </w:rPr>
              <w:t xml:space="preserve">phones, </w:t>
            </w:r>
            <w:r w:rsidR="0066569F">
              <w:rPr>
                <w:rFonts w:ascii="Trebuchet MS" w:hAnsi="Trebuchet MS"/>
                <w:sz w:val="20"/>
              </w:rPr>
              <w:t xml:space="preserve">smartphones, </w:t>
            </w:r>
            <w:r w:rsidRPr="00826A58">
              <w:rPr>
                <w:rFonts w:ascii="Trebuchet MS" w:hAnsi="Trebuchet MS"/>
                <w:sz w:val="20"/>
              </w:rPr>
              <w:t>landlines, and internet charges.</w:t>
            </w:r>
          </w:p>
        </w:tc>
      </w:tr>
      <w:tr w:rsidR="00132AF2" w:rsidRPr="00826A58">
        <w:trPr>
          <w:cantSplit/>
          <w:trHeight w:val="1075"/>
          <w:jc w:val="center"/>
        </w:trPr>
        <w:tc>
          <w:tcPr>
            <w:tcW w:w="14567" w:type="dxa"/>
            <w:gridSpan w:val="3"/>
            <w:vAlign w:val="center"/>
          </w:tcPr>
          <w:p w:rsidR="00132AF2" w:rsidRPr="004815F3" w:rsidRDefault="00132AF2" w:rsidP="00F33034">
            <w:pPr>
              <w:tabs>
                <w:tab w:val="clear" w:pos="7877"/>
                <w:tab w:val="right" w:pos="14317"/>
              </w:tabs>
              <w:spacing w:after="120"/>
              <w:rPr>
                <w:rFonts w:ascii="FoundrySterling-MediumOSF" w:hAnsi="FoundrySterling-MediumOSF"/>
                <w:sz w:val="20"/>
              </w:rPr>
            </w:pPr>
            <w:r w:rsidRPr="004815F3">
              <w:rPr>
                <w:rFonts w:ascii="FoundrySterling-MediumOSF" w:hAnsi="FoundrySterling-MediumOSF"/>
                <w:sz w:val="20"/>
              </w:rPr>
              <w:t xml:space="preserve">Telephone and internet equipment / line rental and call charges are not taxable only if the guidance detailed in the University </w:t>
            </w:r>
            <w:r w:rsidR="00103BFA" w:rsidRPr="004815F3">
              <w:rPr>
                <w:rFonts w:ascii="FoundrySterling-MediumOSF" w:hAnsi="FoundrySterling-MediumOSF"/>
                <w:sz w:val="20"/>
              </w:rPr>
              <w:t>Expenses Guide</w:t>
            </w:r>
            <w:r w:rsidRPr="004815F3">
              <w:rPr>
                <w:rFonts w:ascii="FoundrySterling-MediumOSF" w:hAnsi="FoundrySterling-MediumOSF"/>
                <w:sz w:val="20"/>
              </w:rPr>
              <w:t xml:space="preserve"> is followed. In order to determine whether there has been any usage outside of these guidelines, please answer the following questions:</w:t>
            </w:r>
          </w:p>
        </w:tc>
      </w:tr>
      <w:tr w:rsidR="00132AF2" w:rsidRPr="004815F3">
        <w:trPr>
          <w:trHeight w:val="715"/>
          <w:jc w:val="center"/>
        </w:trPr>
        <w:tc>
          <w:tcPr>
            <w:tcW w:w="13291" w:type="dxa"/>
            <w:gridSpan w:val="2"/>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(a) MOBILE PHONES</w:t>
            </w:r>
            <w:r w:rsidR="0066569F" w:rsidRPr="004815F3">
              <w:rPr>
                <w:rFonts w:ascii="FoundrySterling-MediumOSF" w:hAnsi="FoundrySterling-MediumOSF"/>
                <w:sz w:val="20"/>
                <w:szCs w:val="20"/>
              </w:rPr>
              <w:t>/SMARTPHONES</w:t>
            </w:r>
            <w:r w:rsidRPr="004815F3">
              <w:rPr>
                <w:rFonts w:ascii="FoundrySterling-MediumOSF" w:hAnsi="FoundrySterling-MediumOSF"/>
                <w:sz w:val="20"/>
                <w:szCs w:val="20"/>
              </w:rPr>
              <w:t>.</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This ques</w:t>
            </w:r>
            <w:r w:rsidR="00BA7C58" w:rsidRPr="004815F3">
              <w:rPr>
                <w:rFonts w:ascii="FoundrySterling-MediumOSF" w:hAnsi="FoundrySterling-MediumOSF"/>
                <w:sz w:val="20"/>
                <w:szCs w:val="20"/>
              </w:rPr>
              <w:t xml:space="preserve">tion relates only to mobile </w:t>
            </w:r>
            <w:r w:rsidRPr="004815F3">
              <w:rPr>
                <w:rFonts w:ascii="FoundrySterling-MediumOSF" w:hAnsi="FoundrySterling-MediumOSF"/>
                <w:sz w:val="20"/>
                <w:szCs w:val="20"/>
              </w:rPr>
              <w:t>phones</w:t>
            </w:r>
            <w:r w:rsidR="0066569F" w:rsidRPr="004815F3">
              <w:rPr>
                <w:rFonts w:ascii="FoundrySterling-MediumOSF" w:hAnsi="FoundrySterling-MediumOSF"/>
                <w:sz w:val="20"/>
                <w:szCs w:val="20"/>
              </w:rPr>
              <w:t>/smartphones</w:t>
            </w:r>
            <w:r w:rsidRPr="004815F3">
              <w:rPr>
                <w:rFonts w:ascii="FoundrySterling-MediumOSF" w:hAnsi="FoundrySterling-MediumOSF"/>
                <w:sz w:val="20"/>
                <w:szCs w:val="20"/>
              </w:rPr>
              <w:t xml:space="preserve"> where payment is made – eith</w:t>
            </w:r>
            <w:r w:rsidR="00BA7C58" w:rsidRPr="004815F3">
              <w:rPr>
                <w:rFonts w:ascii="FoundrySterling-MediumOSF" w:hAnsi="FoundrySterling-MediumOSF"/>
                <w:sz w:val="20"/>
                <w:szCs w:val="20"/>
              </w:rPr>
              <w:t xml:space="preserve">er for the </w:t>
            </w:r>
            <w:r w:rsidRPr="004815F3">
              <w:rPr>
                <w:rFonts w:ascii="FoundrySterling-MediumOSF" w:hAnsi="FoundrySterling-MediumOSF"/>
                <w:sz w:val="20"/>
                <w:szCs w:val="20"/>
              </w:rPr>
              <w:t xml:space="preserve">phone, or for ongoing call or rental charges, directly by the department. Do not consider repayment of </w:t>
            </w:r>
            <w:r w:rsidR="001D0337" w:rsidRPr="004815F3">
              <w:rPr>
                <w:rFonts w:ascii="FoundrySterling-MediumOSF" w:hAnsi="FoundrySterling-MediumOSF"/>
                <w:sz w:val="20"/>
                <w:szCs w:val="20"/>
              </w:rPr>
              <w:t xml:space="preserve">employees’ </w:t>
            </w:r>
            <w:r w:rsidR="00BA7C58" w:rsidRPr="004815F3">
              <w:rPr>
                <w:rFonts w:ascii="FoundrySterling-MediumOSF" w:hAnsi="FoundrySterling-MediumOSF"/>
                <w:sz w:val="20"/>
                <w:szCs w:val="20"/>
              </w:rPr>
              <w:t xml:space="preserve">expense claims for mobile </w:t>
            </w:r>
            <w:r w:rsidRPr="004815F3">
              <w:rPr>
                <w:rFonts w:ascii="FoundrySterling-MediumOSF" w:hAnsi="FoundrySterling-MediumOSF"/>
                <w:sz w:val="20"/>
                <w:szCs w:val="20"/>
              </w:rPr>
              <w:t>phones as these will be dealt with during the tax year.</w:t>
            </w:r>
          </w:p>
          <w:p w:rsidR="00132AF2" w:rsidRPr="004815F3" w:rsidRDefault="00132AF2" w:rsidP="00BA7C58">
            <w:pPr>
              <w:spacing w:after="120"/>
              <w:rPr>
                <w:rFonts w:ascii="FoundrySterling-MediumOSF" w:hAnsi="FoundrySterling-MediumOSF"/>
                <w:sz w:val="20"/>
                <w:szCs w:val="20"/>
              </w:rPr>
            </w:pPr>
            <w:r w:rsidRPr="004815F3">
              <w:rPr>
                <w:rFonts w:ascii="FoundrySterling-MediumOSF" w:hAnsi="FoundrySterling-MediumOSF"/>
                <w:sz w:val="20"/>
                <w:szCs w:val="20"/>
              </w:rPr>
              <w:t>Do you have any members of staff in the department who have been provide</w:t>
            </w:r>
            <w:r w:rsidR="00BA7C58" w:rsidRPr="004815F3">
              <w:rPr>
                <w:rFonts w:ascii="FoundrySterling-MediumOSF" w:hAnsi="FoundrySterling-MediumOSF"/>
                <w:sz w:val="20"/>
                <w:szCs w:val="20"/>
              </w:rPr>
              <w:t xml:space="preserve">d with more than one mobile </w:t>
            </w:r>
            <w:r w:rsidRPr="004815F3">
              <w:rPr>
                <w:rFonts w:ascii="FoundrySterling-MediumOSF" w:hAnsi="FoundrySterling-MediumOSF"/>
                <w:sz w:val="20"/>
                <w:szCs w:val="20"/>
              </w:rPr>
              <w:t>phone?</w:t>
            </w:r>
          </w:p>
        </w:tc>
        <w:tc>
          <w:tcPr>
            <w:tcW w:w="1276" w:type="dxa"/>
            <w:vAlign w:val="center"/>
          </w:tcPr>
          <w:p w:rsidR="00132AF2" w:rsidRPr="004815F3" w:rsidRDefault="00132AF2">
            <w:pPr>
              <w:spacing w:before="120" w:after="120"/>
              <w:rPr>
                <w:rFonts w:ascii="FoundrySterling-MediumOSF" w:hAnsi="FoundrySterling-MediumOSF"/>
                <w:sz w:val="20"/>
                <w:szCs w:val="20"/>
              </w:rPr>
            </w:pPr>
            <w:r w:rsidRPr="004815F3">
              <w:rPr>
                <w:rFonts w:ascii="FoundrySterling-MediumOSF" w:hAnsi="FoundrySterling-MediumOSF"/>
                <w:b/>
                <w:bCs/>
                <w:sz w:val="20"/>
                <w:szCs w:val="20"/>
              </w:rPr>
              <w:t>YES / NO</w:t>
            </w:r>
          </w:p>
        </w:tc>
      </w:tr>
      <w:tr w:rsidR="00132AF2" w:rsidRPr="004815F3">
        <w:trPr>
          <w:trHeight w:val="688"/>
          <w:jc w:val="center"/>
        </w:trPr>
        <w:tc>
          <w:tcPr>
            <w:tcW w:w="13291" w:type="dxa"/>
            <w:gridSpan w:val="2"/>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(b) FIXED-LINE PHONES.</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Th</w:t>
            </w:r>
            <w:r w:rsidR="00BA7C58" w:rsidRPr="004815F3">
              <w:rPr>
                <w:rFonts w:ascii="FoundrySterling-MediumOSF" w:hAnsi="FoundrySterling-MediumOSF"/>
                <w:sz w:val="20"/>
                <w:szCs w:val="20"/>
              </w:rPr>
              <w:t xml:space="preserve">is question relates only to </w:t>
            </w:r>
            <w:r w:rsidRPr="004815F3">
              <w:rPr>
                <w:rFonts w:ascii="FoundrySterling-MediumOSF" w:hAnsi="FoundrySterling-MediumOSF"/>
                <w:sz w:val="20"/>
                <w:szCs w:val="20"/>
              </w:rPr>
              <w:t>phones on fixed lines at private addresses where payme</w:t>
            </w:r>
            <w:r w:rsidR="00BA7C58" w:rsidRPr="004815F3">
              <w:rPr>
                <w:rFonts w:ascii="FoundrySterling-MediumOSF" w:hAnsi="FoundrySterling-MediumOSF"/>
                <w:sz w:val="20"/>
                <w:szCs w:val="20"/>
              </w:rPr>
              <w:t xml:space="preserve">nt is made – either for the </w:t>
            </w:r>
            <w:r w:rsidRPr="004815F3">
              <w:rPr>
                <w:rFonts w:ascii="FoundrySterling-MediumOSF" w:hAnsi="FoundrySterling-MediumOSF"/>
                <w:sz w:val="20"/>
                <w:szCs w:val="20"/>
              </w:rPr>
              <w:t xml:space="preserve">phone, or for ongoing call or rental charges, directly by the department. Do not consider repayment of </w:t>
            </w:r>
            <w:r w:rsidR="001D0337" w:rsidRPr="004815F3">
              <w:rPr>
                <w:rFonts w:ascii="FoundrySterling-MediumOSF" w:hAnsi="FoundrySterling-MediumOSF"/>
                <w:sz w:val="20"/>
                <w:szCs w:val="20"/>
              </w:rPr>
              <w:t xml:space="preserve">employees’ </w:t>
            </w:r>
            <w:r w:rsidR="00BA7C58" w:rsidRPr="004815F3">
              <w:rPr>
                <w:rFonts w:ascii="FoundrySterling-MediumOSF" w:hAnsi="FoundrySterling-MediumOSF"/>
                <w:sz w:val="20"/>
                <w:szCs w:val="20"/>
              </w:rPr>
              <w:t xml:space="preserve">expense claims for </w:t>
            </w:r>
            <w:r w:rsidRPr="004815F3">
              <w:rPr>
                <w:rFonts w:ascii="FoundrySterling-MediumOSF" w:hAnsi="FoundrySterling-MediumOSF"/>
                <w:sz w:val="20"/>
                <w:szCs w:val="20"/>
              </w:rPr>
              <w:t>phones, as these will be dealt with during the tax year.</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All of the following conditions need to be met for the above expenses to be tax allowable.</w:t>
            </w:r>
          </w:p>
          <w:p w:rsidR="00A110E0" w:rsidRPr="004815F3" w:rsidRDefault="00A110E0">
            <w:pPr>
              <w:spacing w:after="120"/>
              <w:rPr>
                <w:rFonts w:ascii="FoundrySterling-MediumOSF" w:hAnsi="FoundrySterling-MediumOSF"/>
                <w:sz w:val="20"/>
                <w:szCs w:val="20"/>
              </w:rPr>
            </w:pPr>
            <w:r w:rsidRPr="004815F3">
              <w:rPr>
                <w:rFonts w:ascii="FoundrySterling-MediumOSF" w:hAnsi="FoundrySterling-MediumOSF"/>
                <w:sz w:val="20"/>
                <w:szCs w:val="20"/>
              </w:rPr>
              <w:t xml:space="preserve">     - </w:t>
            </w:r>
            <w:proofErr w:type="gramStart"/>
            <w:r w:rsidRPr="004815F3">
              <w:rPr>
                <w:rFonts w:ascii="FoundrySterling-MediumOSF" w:hAnsi="FoundrySterling-MediumOSF"/>
                <w:sz w:val="20"/>
                <w:szCs w:val="20"/>
              </w:rPr>
              <w:t>individuals</w:t>
            </w:r>
            <w:proofErr w:type="gramEnd"/>
            <w:r w:rsidRPr="004815F3">
              <w:rPr>
                <w:rFonts w:ascii="FoundrySterling-MediumOSF" w:hAnsi="FoundrySterling-MediumOSF"/>
                <w:sz w:val="20"/>
                <w:szCs w:val="20"/>
              </w:rPr>
              <w:t xml:space="preserve"> have a clause in their employment contract – or covering letter – that requires them to use the phone provided for business.</w:t>
            </w:r>
          </w:p>
          <w:p w:rsidR="00132AF2" w:rsidRPr="004815F3" w:rsidRDefault="00BA7C58">
            <w:pPr>
              <w:spacing w:after="120"/>
              <w:rPr>
                <w:rFonts w:ascii="FoundrySterling-MediumOSF" w:hAnsi="FoundrySterling-MediumOSF"/>
                <w:sz w:val="20"/>
                <w:szCs w:val="20"/>
              </w:rPr>
            </w:pPr>
            <w:r w:rsidRPr="004815F3">
              <w:rPr>
                <w:rFonts w:ascii="FoundrySterling-MediumOSF" w:hAnsi="FoundrySterling-MediumOSF"/>
                <w:sz w:val="20"/>
                <w:szCs w:val="20"/>
              </w:rPr>
              <w:t xml:space="preserve">     - the </w:t>
            </w:r>
            <w:r w:rsidR="00132AF2" w:rsidRPr="004815F3">
              <w:rPr>
                <w:rFonts w:ascii="FoundrySterling-MediumOSF" w:hAnsi="FoundrySterling-MediumOSF"/>
                <w:sz w:val="20"/>
                <w:szCs w:val="20"/>
              </w:rPr>
              <w:t>phone is provided for business use (which means that private use will not exceed 10% of the time);</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xml:space="preserve">     - the billing is itemized and private calls are marked on the bill;</w:t>
            </w:r>
          </w:p>
          <w:p w:rsidR="00132AF2" w:rsidRPr="004815F3" w:rsidRDefault="00132AF2" w:rsidP="00954F05">
            <w:pPr>
              <w:spacing w:after="120"/>
              <w:rPr>
                <w:rFonts w:ascii="FoundrySterling-MediumOSF" w:hAnsi="FoundrySterling-MediumOSF"/>
                <w:sz w:val="20"/>
                <w:szCs w:val="20"/>
              </w:rPr>
            </w:pPr>
            <w:r w:rsidRPr="004815F3">
              <w:rPr>
                <w:rFonts w:ascii="FoundrySterling-MediumOSF" w:hAnsi="FoundrySterling-MediumOSF"/>
                <w:sz w:val="20"/>
                <w:szCs w:val="20"/>
              </w:rPr>
              <w:t>Do you have any members of staff in the depar</w:t>
            </w:r>
            <w:r w:rsidR="00BA7C58" w:rsidRPr="004815F3">
              <w:rPr>
                <w:rFonts w:ascii="FoundrySterling-MediumOSF" w:hAnsi="FoundrySterling-MediumOSF"/>
                <w:sz w:val="20"/>
                <w:szCs w:val="20"/>
              </w:rPr>
              <w:t xml:space="preserve">tment for whom a fixed-line </w:t>
            </w:r>
            <w:r w:rsidRPr="004815F3">
              <w:rPr>
                <w:rFonts w:ascii="FoundrySterling-MediumOSF" w:hAnsi="FoundrySterling-MediumOSF"/>
                <w:sz w:val="20"/>
                <w:szCs w:val="20"/>
              </w:rPr>
              <w:t xml:space="preserve">phone has been provided at a private address and for which </w:t>
            </w:r>
            <w:r w:rsidRPr="004815F3">
              <w:rPr>
                <w:rFonts w:ascii="FoundrySterling-MediumOSF" w:hAnsi="FoundrySterling-MediumOSF"/>
                <w:i/>
                <w:iCs/>
                <w:sz w:val="20"/>
                <w:szCs w:val="20"/>
              </w:rPr>
              <w:t>any one</w:t>
            </w:r>
            <w:r w:rsidRPr="004815F3">
              <w:rPr>
                <w:rFonts w:ascii="FoundrySterling-MediumOSF" w:hAnsi="FoundrySterling-MediumOSF"/>
                <w:sz w:val="20"/>
                <w:szCs w:val="20"/>
              </w:rPr>
              <w:t xml:space="preserve"> of the conditions above </w:t>
            </w:r>
            <w:r w:rsidRPr="004815F3">
              <w:rPr>
                <w:rFonts w:ascii="FoundrySterling-MediumOSF" w:hAnsi="FoundrySterling-MediumOSF"/>
                <w:b/>
                <w:sz w:val="20"/>
                <w:szCs w:val="20"/>
              </w:rPr>
              <w:t>does not</w:t>
            </w:r>
            <w:r w:rsidRPr="004815F3">
              <w:rPr>
                <w:rFonts w:ascii="FoundrySterling-MediumOSF" w:hAnsi="FoundrySterling-MediumOSF"/>
                <w:sz w:val="20"/>
                <w:szCs w:val="20"/>
              </w:rPr>
              <w:t xml:space="preserve"> apply?</w:t>
            </w:r>
          </w:p>
        </w:tc>
        <w:tc>
          <w:tcPr>
            <w:tcW w:w="1276" w:type="dxa"/>
            <w:vAlign w:val="center"/>
          </w:tcPr>
          <w:p w:rsidR="00132AF2" w:rsidRPr="004815F3" w:rsidRDefault="00132AF2">
            <w:pPr>
              <w:spacing w:before="120" w:after="120"/>
              <w:rPr>
                <w:rFonts w:ascii="FoundrySterling-MediumOSF" w:hAnsi="FoundrySterling-MediumOSF"/>
                <w:sz w:val="20"/>
                <w:szCs w:val="20"/>
              </w:rPr>
            </w:pPr>
            <w:r w:rsidRPr="004815F3">
              <w:rPr>
                <w:rFonts w:ascii="FoundrySterling-MediumOSF" w:hAnsi="FoundrySterling-MediumOSF"/>
                <w:b/>
                <w:bCs/>
                <w:sz w:val="20"/>
                <w:szCs w:val="20"/>
              </w:rPr>
              <w:t>YES / NO</w:t>
            </w:r>
          </w:p>
        </w:tc>
      </w:tr>
      <w:tr w:rsidR="00132AF2" w:rsidRPr="004815F3">
        <w:trPr>
          <w:trHeight w:val="715"/>
          <w:jc w:val="center"/>
        </w:trPr>
        <w:tc>
          <w:tcPr>
            <w:tcW w:w="13291" w:type="dxa"/>
            <w:gridSpan w:val="2"/>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(c) INTERNET ACCESS.</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This question relates only to internet access provided to individuals at private addresses where payment is made directly by the department. Do not consider repayment of employees’ expense claims for internet access, or access by individuals whilst staying in hotels or travelling, as these will be dealt with during the tax year.</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All of the following conditions need to be met for the above expenses to be tax allowable.</w:t>
            </w:r>
          </w:p>
          <w:p w:rsidR="00A110E0" w:rsidRPr="004815F3" w:rsidRDefault="00A110E0">
            <w:pPr>
              <w:spacing w:after="120"/>
              <w:rPr>
                <w:rFonts w:ascii="FoundrySterling-MediumOSF" w:hAnsi="FoundrySterling-MediumOSF"/>
                <w:sz w:val="20"/>
                <w:szCs w:val="20"/>
              </w:rPr>
            </w:pPr>
            <w:r w:rsidRPr="004815F3">
              <w:rPr>
                <w:rFonts w:ascii="FoundrySterling-MediumOSF" w:hAnsi="FoundrySterling-MediumOSF"/>
                <w:sz w:val="20"/>
                <w:szCs w:val="20"/>
              </w:rPr>
              <w:t xml:space="preserve">     - </w:t>
            </w:r>
            <w:proofErr w:type="gramStart"/>
            <w:r w:rsidRPr="004815F3">
              <w:rPr>
                <w:rFonts w:ascii="FoundrySterling-MediumOSF" w:hAnsi="FoundrySterling-MediumOSF"/>
                <w:sz w:val="20"/>
                <w:szCs w:val="20"/>
              </w:rPr>
              <w:t>individuals</w:t>
            </w:r>
            <w:proofErr w:type="gramEnd"/>
            <w:r w:rsidRPr="004815F3">
              <w:rPr>
                <w:rFonts w:ascii="FoundrySterling-MediumOSF" w:hAnsi="FoundrySterling-MediumOSF"/>
                <w:sz w:val="20"/>
                <w:szCs w:val="20"/>
              </w:rPr>
              <w:t xml:space="preserve"> have a clause in their employment contract – or covering letter – that requires them to use the provided access for business.</w:t>
            </w:r>
          </w:p>
          <w:p w:rsidR="00A110E0" w:rsidRPr="004815F3" w:rsidRDefault="00132AF2" w:rsidP="00A110E0">
            <w:pPr>
              <w:spacing w:after="120"/>
              <w:rPr>
                <w:rFonts w:ascii="FoundrySterling-MediumOSF" w:hAnsi="FoundrySterling-MediumOSF"/>
                <w:sz w:val="20"/>
                <w:szCs w:val="20"/>
              </w:rPr>
            </w:pPr>
            <w:r w:rsidRPr="004815F3">
              <w:rPr>
                <w:rFonts w:ascii="FoundrySterling-MediumOSF" w:hAnsi="FoundrySterling-MediumOSF"/>
                <w:sz w:val="20"/>
                <w:szCs w:val="20"/>
              </w:rPr>
              <w:t xml:space="preserve">     - the internet access is provided for business use (which means that private use will not exceed 10% of the time);</w:t>
            </w:r>
          </w:p>
          <w:p w:rsidR="00132AF2" w:rsidRPr="004815F3" w:rsidRDefault="00132AF2" w:rsidP="00A110E0">
            <w:pPr>
              <w:spacing w:after="120"/>
              <w:rPr>
                <w:rFonts w:ascii="FoundrySterling-MediumOSF" w:hAnsi="FoundrySterling-MediumOSF"/>
                <w:sz w:val="20"/>
                <w:szCs w:val="20"/>
              </w:rPr>
            </w:pPr>
            <w:r w:rsidRPr="004815F3">
              <w:rPr>
                <w:rFonts w:ascii="FoundrySterling-MediumOSF" w:hAnsi="FoundrySterling-MediumOSF"/>
                <w:sz w:val="20"/>
                <w:szCs w:val="20"/>
              </w:rPr>
              <w:t xml:space="preserve">Do you have any members of staff in the department for whom internet access has been provided at a private address and for which </w:t>
            </w:r>
            <w:r w:rsidRPr="004815F3">
              <w:rPr>
                <w:rFonts w:ascii="FoundrySterling-MediumOSF" w:hAnsi="FoundrySterling-MediumOSF"/>
                <w:i/>
                <w:iCs/>
                <w:sz w:val="20"/>
                <w:szCs w:val="20"/>
              </w:rPr>
              <w:t>any one</w:t>
            </w:r>
            <w:r w:rsidR="007C5058" w:rsidRPr="004815F3">
              <w:rPr>
                <w:rFonts w:ascii="FoundrySterling-MediumOSF" w:hAnsi="FoundrySterling-MediumOSF"/>
                <w:sz w:val="20"/>
                <w:szCs w:val="20"/>
              </w:rPr>
              <w:t xml:space="preserve"> of the</w:t>
            </w:r>
            <w:r w:rsidRPr="004815F3">
              <w:rPr>
                <w:rFonts w:ascii="FoundrySterling-MediumOSF" w:hAnsi="FoundrySterling-MediumOSF"/>
                <w:sz w:val="20"/>
                <w:szCs w:val="20"/>
              </w:rPr>
              <w:t xml:space="preserve"> conditions above </w:t>
            </w:r>
            <w:r w:rsidRPr="004815F3">
              <w:rPr>
                <w:rFonts w:ascii="FoundrySterling-MediumOSF" w:hAnsi="FoundrySterling-MediumOSF"/>
                <w:b/>
                <w:sz w:val="20"/>
                <w:szCs w:val="20"/>
              </w:rPr>
              <w:t>does not</w:t>
            </w:r>
            <w:r w:rsidRPr="004815F3">
              <w:rPr>
                <w:rFonts w:ascii="FoundrySterling-MediumOSF" w:hAnsi="FoundrySterling-MediumOSF"/>
                <w:sz w:val="20"/>
                <w:szCs w:val="20"/>
              </w:rPr>
              <w:t xml:space="preserve"> apply?</w:t>
            </w:r>
          </w:p>
        </w:tc>
        <w:tc>
          <w:tcPr>
            <w:tcW w:w="1276" w:type="dxa"/>
            <w:vAlign w:val="center"/>
          </w:tcPr>
          <w:p w:rsidR="00132AF2" w:rsidRPr="004815F3" w:rsidRDefault="00132AF2">
            <w:pPr>
              <w:spacing w:before="120"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132AF2" w:rsidRPr="004815F3" w:rsidTr="00132AF2">
        <w:trPr>
          <w:cantSplit/>
          <w:trHeight w:val="669"/>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If the answer to (a), (b) or (c) is ‘YES’, then please complete Appendix 1 for the staff concerned, otherwise proceed to section 2.</w:t>
            </w:r>
          </w:p>
        </w:tc>
      </w:tr>
      <w:tr w:rsidR="00132AF2" w:rsidRPr="004815F3">
        <w:trPr>
          <w:cantSplit/>
          <w:trHeight w:val="715"/>
          <w:jc w:val="center"/>
        </w:trPr>
        <w:tc>
          <w:tcPr>
            <w:tcW w:w="14567" w:type="dxa"/>
            <w:gridSpan w:val="3"/>
            <w:vAlign w:val="center"/>
          </w:tcPr>
          <w:p w:rsidR="00132AF2" w:rsidRPr="004815F3" w:rsidRDefault="00132AF2" w:rsidP="007F5A3B">
            <w:pPr>
              <w:spacing w:after="120"/>
              <w:rPr>
                <w:rFonts w:ascii="FoundrySterling-MediumOSF" w:hAnsi="FoundrySterling-MediumOSF"/>
                <w:sz w:val="20"/>
                <w:szCs w:val="20"/>
              </w:rPr>
            </w:pPr>
            <w:r w:rsidRPr="004815F3">
              <w:rPr>
                <w:rFonts w:ascii="FoundrySterling-MediumOSF" w:hAnsi="FoundrySterling-MediumOSF"/>
                <w:i/>
                <w:iCs/>
                <w:sz w:val="20"/>
                <w:szCs w:val="20"/>
              </w:rPr>
              <w:t xml:space="preserve">For more information on what is not considered to be a taxable benefit in this area and what is permissible, please refer to </w:t>
            </w:r>
            <w:r w:rsidR="00BA7C58" w:rsidRPr="004815F3">
              <w:rPr>
                <w:rFonts w:ascii="FoundrySterling-MediumOSF" w:hAnsi="FoundrySterling-MediumOSF"/>
                <w:i/>
                <w:iCs/>
                <w:sz w:val="20"/>
                <w:szCs w:val="20"/>
              </w:rPr>
              <w:t xml:space="preserve">the </w:t>
            </w:r>
            <w:r w:rsidRPr="004815F3">
              <w:rPr>
                <w:rFonts w:ascii="FoundrySterling-MediumOSF" w:hAnsi="FoundrySterling-MediumOSF"/>
                <w:i/>
                <w:iCs/>
                <w:sz w:val="20"/>
                <w:szCs w:val="20"/>
              </w:rPr>
              <w:t xml:space="preserve"> </w:t>
            </w:r>
            <w:r w:rsidR="00103BFA" w:rsidRPr="004815F3">
              <w:rPr>
                <w:rFonts w:ascii="FoundrySterling-MediumOSF" w:hAnsi="FoundrySterling-MediumOSF"/>
                <w:i/>
                <w:iCs/>
                <w:sz w:val="20"/>
                <w:szCs w:val="20"/>
              </w:rPr>
              <w:t>Expenses Guide</w:t>
            </w:r>
            <w:r w:rsidRPr="004815F3">
              <w:rPr>
                <w:rFonts w:ascii="FoundrySterling-MediumOSF" w:hAnsi="FoundrySterling-MediumOSF"/>
                <w:i/>
                <w:iCs/>
                <w:sz w:val="20"/>
                <w:szCs w:val="20"/>
              </w:rPr>
              <w:t>:</w:t>
            </w:r>
            <w:r w:rsidR="00954F05" w:rsidRPr="004815F3">
              <w:rPr>
                <w:rFonts w:ascii="FoundrySterling-MediumOSF" w:hAnsi="FoundrySterling-MediumOSF"/>
                <w:sz w:val="20"/>
                <w:szCs w:val="20"/>
              </w:rPr>
              <w:t xml:space="preserve"> </w:t>
            </w:r>
            <w:hyperlink r:id="rId13" w:history="1">
              <w:r w:rsidR="008A593C" w:rsidRPr="00F33034">
                <w:rPr>
                  <w:rStyle w:val="Hyperlink"/>
                  <w:rFonts w:ascii="FoundrySterling-Book" w:hAnsi="FoundrySterling-Book"/>
                  <w:sz w:val="20"/>
                  <w:szCs w:val="20"/>
                </w:rPr>
                <w:t>https://finance.admin.ox.ac.uk/departmental-expenses-guidance</w:t>
              </w:r>
            </w:hyperlink>
            <w:r w:rsidR="008A593C">
              <w:t xml:space="preserve"> </w:t>
            </w:r>
          </w:p>
        </w:tc>
      </w:tr>
    </w:tbl>
    <w:p w:rsidR="00132AF2" w:rsidRPr="004815F3" w:rsidRDefault="00132AF2">
      <w:pPr>
        <w:spacing w:after="0"/>
        <w:jc w:val="both"/>
        <w:rPr>
          <w:rFonts w:ascii="FoundrySterling-MediumOSF" w:hAnsi="FoundrySterling-MediumOSF"/>
          <w:sz w:val="20"/>
          <w:szCs w:val="20"/>
        </w:rPr>
      </w:pPr>
    </w:p>
    <w:p w:rsidR="00132AF2" w:rsidRPr="004815F3" w:rsidRDefault="00132AF2">
      <w:pPr>
        <w:spacing w:after="0"/>
        <w:jc w:val="both"/>
        <w:rPr>
          <w:rFonts w:ascii="FoundrySterling-MediumOSF" w:hAnsi="FoundrySterling-MediumOSF"/>
          <w:sz w:val="20"/>
          <w:szCs w:val="20"/>
        </w:rPr>
      </w:pPr>
    </w:p>
    <w:p w:rsidR="00132AF2" w:rsidRPr="004815F3" w:rsidRDefault="00132AF2">
      <w:pPr>
        <w:spacing w:after="0"/>
        <w:jc w:val="both"/>
        <w:rPr>
          <w:rFonts w:ascii="FoundrySterling-MediumOSF" w:hAnsi="FoundrySterling-MediumOS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2757"/>
        <w:gridCol w:w="1276"/>
      </w:tblGrid>
      <w:tr w:rsidR="00132AF2" w:rsidRPr="004815F3" w:rsidTr="00482303">
        <w:trPr>
          <w:cantSplit/>
          <w:jc w:val="center"/>
        </w:trPr>
        <w:tc>
          <w:tcPr>
            <w:tcW w:w="534" w:type="dxa"/>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 xml:space="preserve">2. </w:t>
            </w:r>
          </w:p>
        </w:tc>
        <w:tc>
          <w:tcPr>
            <w:tcW w:w="14033" w:type="dxa"/>
            <w:gridSpan w:val="2"/>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University Vehicles</w:t>
            </w:r>
          </w:p>
        </w:tc>
      </w:tr>
      <w:tr w:rsidR="00132AF2" w:rsidRPr="004815F3">
        <w:trPr>
          <w:cantSplit/>
          <w:trHeight w:val="1340"/>
          <w:jc w:val="center"/>
        </w:trPr>
        <w:tc>
          <w:tcPr>
            <w:tcW w:w="14567" w:type="dxa"/>
            <w:gridSpan w:val="3"/>
            <w:vAlign w:val="center"/>
          </w:tcPr>
          <w:p w:rsidR="00132AF2" w:rsidRPr="004815F3" w:rsidRDefault="00132AF2" w:rsidP="007C5058">
            <w:pPr>
              <w:spacing w:after="120"/>
              <w:rPr>
                <w:rFonts w:ascii="FoundrySterling-MediumOSF" w:hAnsi="FoundrySterling-MediumOSF"/>
                <w:sz w:val="20"/>
                <w:szCs w:val="20"/>
              </w:rPr>
            </w:pPr>
            <w:r w:rsidRPr="004815F3">
              <w:rPr>
                <w:rFonts w:ascii="FoundrySterling-MediumOSF" w:hAnsi="FoundrySterling-MediumOSF"/>
                <w:sz w:val="20"/>
                <w:szCs w:val="20"/>
              </w:rPr>
              <w:t xml:space="preserve">Vehicles owned by your Department should be kept overnight on University premises and not be used by employees in any private capacity. </w:t>
            </w:r>
            <w:r w:rsidR="00A42D78" w:rsidRPr="004815F3">
              <w:rPr>
                <w:rFonts w:ascii="FoundrySterling-MediumOSF" w:hAnsi="FoundrySterling-MediumOSF"/>
                <w:sz w:val="20"/>
                <w:szCs w:val="20"/>
              </w:rPr>
              <w:t>Please note that</w:t>
            </w:r>
            <w:r w:rsidRPr="004815F3">
              <w:rPr>
                <w:rFonts w:ascii="FoundrySterling-MediumOSF" w:hAnsi="FoundrySterling-MediumOSF"/>
                <w:sz w:val="20"/>
                <w:szCs w:val="20"/>
              </w:rPr>
              <w:t xml:space="preserve"> </w:t>
            </w:r>
            <w:r w:rsidR="00A42D78" w:rsidRPr="004815F3">
              <w:rPr>
                <w:rFonts w:ascii="FoundrySterling-MediumOSF" w:hAnsi="FoundrySterling-MediumOSF"/>
                <w:sz w:val="20"/>
                <w:szCs w:val="20"/>
              </w:rPr>
              <w:t>HMRC</w:t>
            </w:r>
            <w:r w:rsidRPr="004815F3">
              <w:rPr>
                <w:rFonts w:ascii="FoundrySterling-MediumOSF" w:hAnsi="FoundrySterling-MediumOSF"/>
                <w:sz w:val="20"/>
                <w:szCs w:val="20"/>
              </w:rPr>
              <w:t xml:space="preserve"> require a detailed log of all use of any such vehicles, showing reasons for trips and </w:t>
            </w:r>
            <w:r w:rsidR="007C5058" w:rsidRPr="004815F3">
              <w:rPr>
                <w:rFonts w:ascii="FoundrySterling-MediumOSF" w:hAnsi="FoundrySterling-MediumOSF"/>
                <w:sz w:val="20"/>
                <w:szCs w:val="20"/>
              </w:rPr>
              <w:t>odometer</w:t>
            </w:r>
            <w:r w:rsidRPr="004815F3">
              <w:rPr>
                <w:rFonts w:ascii="FoundrySterling-MediumOSF" w:hAnsi="FoundrySterling-MediumOSF"/>
                <w:sz w:val="20"/>
                <w:szCs w:val="20"/>
              </w:rPr>
              <w:t xml:space="preserve"> readings. </w:t>
            </w:r>
          </w:p>
        </w:tc>
      </w:tr>
      <w:tr w:rsidR="00132AF2" w:rsidRPr="004815F3" w:rsidTr="00132AF2">
        <w:trPr>
          <w:trHeight w:val="767"/>
          <w:jc w:val="center"/>
        </w:trPr>
        <w:tc>
          <w:tcPr>
            <w:tcW w:w="13291" w:type="dxa"/>
            <w:gridSpan w:val="2"/>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(a) Please indicate the numbers of vehicles owned by the department – if no vehicles are owned, place a zero in this box, and then continue to section 3. If vehicles are owned, then please complete Appendix 2 with the required details.</w:t>
            </w:r>
          </w:p>
        </w:tc>
        <w:tc>
          <w:tcPr>
            <w:tcW w:w="1276" w:type="dxa"/>
            <w:vAlign w:val="center"/>
          </w:tcPr>
          <w:p w:rsidR="00132AF2" w:rsidRPr="004815F3" w:rsidRDefault="00132AF2">
            <w:pPr>
              <w:spacing w:after="120"/>
              <w:rPr>
                <w:rFonts w:ascii="FoundrySterling-MediumOSF" w:hAnsi="FoundrySterling-MediumOSF"/>
                <w:sz w:val="20"/>
                <w:szCs w:val="20"/>
              </w:rPr>
            </w:pPr>
          </w:p>
        </w:tc>
      </w:tr>
      <w:tr w:rsidR="00132AF2" w:rsidRPr="004815F3">
        <w:trPr>
          <w:cantSplit/>
          <w:trHeight w:val="715"/>
          <w:jc w:val="center"/>
        </w:trPr>
        <w:tc>
          <w:tcPr>
            <w:tcW w:w="14567" w:type="dxa"/>
            <w:gridSpan w:val="3"/>
            <w:vAlign w:val="center"/>
          </w:tcPr>
          <w:p w:rsidR="00132AF2" w:rsidRPr="004815F3" w:rsidRDefault="00132AF2" w:rsidP="00954F05">
            <w:pPr>
              <w:spacing w:after="120"/>
              <w:rPr>
                <w:rFonts w:ascii="FoundrySterling-MediumOSF" w:hAnsi="FoundrySterling-MediumOSF"/>
                <w:sz w:val="20"/>
                <w:szCs w:val="20"/>
                <w:highlight w:val="yellow"/>
              </w:rPr>
            </w:pPr>
            <w:r w:rsidRPr="004815F3">
              <w:rPr>
                <w:rFonts w:ascii="FoundrySterling-MediumOSF" w:hAnsi="FoundrySterling-MediumOSF"/>
                <w:i/>
                <w:iCs/>
                <w:sz w:val="20"/>
                <w:szCs w:val="20"/>
              </w:rPr>
              <w:t>For more information on what is not considered to be a taxable benefit in this area and w</w:t>
            </w:r>
            <w:r w:rsidR="00F33034">
              <w:rPr>
                <w:rFonts w:ascii="FoundrySterling-MediumOSF" w:hAnsi="FoundrySterling-MediumOSF"/>
                <w:i/>
                <w:iCs/>
                <w:sz w:val="20"/>
                <w:szCs w:val="20"/>
              </w:rPr>
              <w:t xml:space="preserve">hat is, please refer to the </w:t>
            </w:r>
            <w:r w:rsidR="008A593C">
              <w:rPr>
                <w:rFonts w:ascii="FoundrySterling-MediumOSF" w:hAnsi="FoundrySterling-MediumOSF"/>
                <w:i/>
                <w:iCs/>
                <w:sz w:val="20"/>
                <w:szCs w:val="20"/>
              </w:rPr>
              <w:t xml:space="preserve">Expenses </w:t>
            </w:r>
            <w:r w:rsidR="00103BFA" w:rsidRPr="004815F3">
              <w:rPr>
                <w:rFonts w:ascii="FoundrySterling-MediumOSF" w:hAnsi="FoundrySterling-MediumOSF"/>
                <w:i/>
                <w:iCs/>
                <w:sz w:val="20"/>
                <w:szCs w:val="20"/>
              </w:rPr>
              <w:t>Guide</w:t>
            </w:r>
            <w:r w:rsidRPr="004815F3">
              <w:rPr>
                <w:rFonts w:ascii="FoundrySterling-MediumOSF" w:hAnsi="FoundrySterling-MediumOSF"/>
                <w:i/>
                <w:iCs/>
                <w:sz w:val="20"/>
                <w:szCs w:val="20"/>
              </w:rPr>
              <w:t xml:space="preserve">, available via the following web link: </w:t>
            </w:r>
            <w:hyperlink r:id="rId14" w:anchor="collapse1031411" w:history="1">
              <w:r w:rsidR="008A593C" w:rsidRPr="008A593C">
                <w:rPr>
                  <w:rStyle w:val="Hyperlink"/>
                  <w:rFonts w:ascii="FoundrySterling-Book" w:hAnsi="FoundrySterling-Book"/>
                  <w:sz w:val="20"/>
                  <w:szCs w:val="20"/>
                </w:rPr>
                <w:t>https://finance.admin.ox.ac.uk/travel-expenses-departmental-guidance#collapse1031411</w:t>
              </w:r>
            </w:hyperlink>
            <w:r w:rsidR="008A593C">
              <w:t xml:space="preserve"> </w:t>
            </w:r>
          </w:p>
        </w:tc>
      </w:tr>
    </w:tbl>
    <w:p w:rsidR="00132AF2" w:rsidRPr="004815F3" w:rsidRDefault="00132AF2">
      <w:pPr>
        <w:jc w:val="both"/>
        <w:rPr>
          <w:rFonts w:ascii="FoundrySterling-MediumOSF" w:hAnsi="FoundrySterling-MediumOSF"/>
          <w:sz w:val="20"/>
          <w:szCs w:val="20"/>
        </w:rPr>
      </w:pPr>
    </w:p>
    <w:p w:rsidR="00132AF2" w:rsidRPr="004815F3" w:rsidRDefault="00132AF2">
      <w:pPr>
        <w:rPr>
          <w:rFonts w:ascii="FoundrySterling-MediumOSF" w:hAnsi="FoundrySterling-MediumOSF"/>
          <w:sz w:val="20"/>
          <w:szCs w:val="20"/>
        </w:rPr>
      </w:pPr>
    </w:p>
    <w:p w:rsidR="00132AF2" w:rsidRPr="004815F3" w:rsidRDefault="00132AF2">
      <w:pPr>
        <w:rPr>
          <w:rFonts w:ascii="FoundrySterling-MediumOSF" w:hAnsi="FoundrySterling-MediumOS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2757"/>
        <w:gridCol w:w="1276"/>
      </w:tblGrid>
      <w:tr w:rsidR="00132AF2" w:rsidRPr="004815F3" w:rsidTr="00482303">
        <w:trPr>
          <w:cantSplit/>
          <w:jc w:val="center"/>
        </w:trPr>
        <w:tc>
          <w:tcPr>
            <w:tcW w:w="534" w:type="dxa"/>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 xml:space="preserve">3. </w:t>
            </w:r>
          </w:p>
        </w:tc>
        <w:tc>
          <w:tcPr>
            <w:tcW w:w="14033" w:type="dxa"/>
            <w:gridSpan w:val="2"/>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Mileage Allowance</w:t>
            </w:r>
          </w:p>
        </w:tc>
      </w:tr>
      <w:tr w:rsidR="00132AF2" w:rsidRPr="004815F3">
        <w:trPr>
          <w:cantSplit/>
          <w:trHeight w:val="715"/>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Persons who have been paid mileage expense</w:t>
            </w:r>
            <w:r w:rsidR="007C5058" w:rsidRPr="004815F3">
              <w:rPr>
                <w:rFonts w:ascii="FoundrySterling-MediumOSF" w:hAnsi="FoundrySterling-MediumOSF"/>
                <w:sz w:val="20"/>
                <w:szCs w:val="20"/>
              </w:rPr>
              <w:t>s gross at 45</w:t>
            </w:r>
            <w:r w:rsidRPr="004815F3">
              <w:rPr>
                <w:rFonts w:ascii="FoundrySterling-MediumOSF" w:hAnsi="FoundrySterling-MediumOSF"/>
                <w:sz w:val="20"/>
                <w:szCs w:val="20"/>
              </w:rPr>
              <w:t xml:space="preserve">p per mile and who have exceeded 10,000 miles in the tax year must be identified for P11D purposes. Please provide details of all employees within your department who have received mileage </w:t>
            </w:r>
            <w:r w:rsidR="007C5058" w:rsidRPr="004815F3">
              <w:rPr>
                <w:rFonts w:ascii="FoundrySterling-MediumOSF" w:hAnsi="FoundrySterling-MediumOSF"/>
                <w:sz w:val="20"/>
                <w:szCs w:val="20"/>
              </w:rPr>
              <w:t>reimbursements in excess of £4,5</w:t>
            </w:r>
            <w:r w:rsidRPr="004815F3">
              <w:rPr>
                <w:rFonts w:ascii="FoundrySterling-MediumOSF" w:hAnsi="FoundrySterling-MediumOSF"/>
                <w:sz w:val="20"/>
                <w:szCs w:val="20"/>
              </w:rPr>
              <w:t>00 within the last tax year.</w:t>
            </w:r>
          </w:p>
        </w:tc>
      </w:tr>
      <w:tr w:rsidR="00132AF2" w:rsidRPr="004815F3">
        <w:trPr>
          <w:cantSplit/>
          <w:trHeight w:val="535"/>
          <w:jc w:val="center"/>
        </w:trPr>
        <w:tc>
          <w:tcPr>
            <w:tcW w:w="13291" w:type="dxa"/>
            <w:gridSpan w:val="2"/>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(a) Has your department reimbursed mileage cost</w:t>
            </w:r>
            <w:r w:rsidR="007C5058" w:rsidRPr="004815F3">
              <w:rPr>
                <w:rFonts w:ascii="FoundrySterling-MediumOSF" w:hAnsi="FoundrySterling-MediumOSF"/>
                <w:sz w:val="20"/>
                <w:szCs w:val="20"/>
              </w:rPr>
              <w:t>s of any staff in excess of £4,5</w:t>
            </w:r>
            <w:r w:rsidRPr="004815F3">
              <w:rPr>
                <w:rFonts w:ascii="FoundrySterling-MediumOSF" w:hAnsi="FoundrySterling-MediumOSF"/>
                <w:sz w:val="20"/>
                <w:szCs w:val="20"/>
              </w:rPr>
              <w:t xml:space="preserve">00 in the last tax year? </w:t>
            </w:r>
            <w:r w:rsidRPr="004815F3">
              <w:rPr>
                <w:rFonts w:ascii="FoundrySterling-MediumOSF" w:hAnsi="FoundrySterling-MediumOSF"/>
                <w:i/>
                <w:iCs/>
                <w:sz w:val="20"/>
                <w:szCs w:val="20"/>
              </w:rPr>
              <w:t>Please delete as appropriate</w:t>
            </w:r>
          </w:p>
        </w:tc>
        <w:tc>
          <w:tcPr>
            <w:tcW w:w="1276" w:type="dxa"/>
            <w:vAlign w:val="center"/>
          </w:tcPr>
          <w:p w:rsidR="00132AF2" w:rsidRPr="004815F3" w:rsidRDefault="00132AF2">
            <w:pPr>
              <w:spacing w:before="120"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132AF2" w:rsidRPr="004815F3">
        <w:trPr>
          <w:cantSplit/>
          <w:trHeight w:val="535"/>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If the answer to (a) above is ‘YES’ then please complete Appendix 3, otherwise proceed to section 4.</w:t>
            </w:r>
          </w:p>
        </w:tc>
      </w:tr>
      <w:tr w:rsidR="00132AF2" w:rsidRPr="004815F3">
        <w:trPr>
          <w:cantSplit/>
          <w:jc w:val="center"/>
        </w:trPr>
        <w:tc>
          <w:tcPr>
            <w:tcW w:w="14567" w:type="dxa"/>
            <w:gridSpan w:val="3"/>
            <w:vAlign w:val="center"/>
          </w:tcPr>
          <w:p w:rsidR="00132AF2" w:rsidRPr="004815F3" w:rsidRDefault="00132AF2" w:rsidP="008A593C">
            <w:pPr>
              <w:spacing w:after="120"/>
              <w:rPr>
                <w:rFonts w:ascii="FoundrySterling-MediumOSF" w:hAnsi="FoundrySterling-MediumOSF"/>
                <w:sz w:val="20"/>
                <w:szCs w:val="20"/>
              </w:rPr>
            </w:pPr>
            <w:r w:rsidRPr="004815F3">
              <w:rPr>
                <w:rFonts w:ascii="FoundrySterling-MediumOSF" w:hAnsi="FoundrySterling-MediumOSF"/>
                <w:i/>
                <w:iCs/>
                <w:sz w:val="20"/>
                <w:szCs w:val="20"/>
              </w:rPr>
              <w:t xml:space="preserve">For more information on what is not considered to be a taxable benefit in this area and what is, please refer to the current </w:t>
            </w:r>
            <w:r w:rsidR="008A593C">
              <w:rPr>
                <w:rFonts w:ascii="FoundrySterling-MediumOSF" w:hAnsi="FoundrySterling-MediumOSF"/>
                <w:i/>
                <w:iCs/>
                <w:sz w:val="20"/>
                <w:szCs w:val="20"/>
              </w:rPr>
              <w:t xml:space="preserve">Expenses </w:t>
            </w:r>
            <w:r w:rsidR="00103BFA" w:rsidRPr="004815F3">
              <w:rPr>
                <w:rFonts w:ascii="FoundrySterling-MediumOSF" w:hAnsi="FoundrySterling-MediumOSF"/>
                <w:i/>
                <w:iCs/>
                <w:sz w:val="20"/>
                <w:szCs w:val="20"/>
              </w:rPr>
              <w:t>Guide</w:t>
            </w:r>
            <w:r w:rsidRPr="004815F3">
              <w:rPr>
                <w:rFonts w:ascii="FoundrySterling-MediumOSF" w:hAnsi="FoundrySterling-MediumOSF"/>
                <w:i/>
                <w:iCs/>
                <w:sz w:val="20"/>
                <w:szCs w:val="20"/>
              </w:rPr>
              <w:t xml:space="preserve">, available via the following web link </w:t>
            </w:r>
            <w:r w:rsidRPr="004815F3">
              <w:rPr>
                <w:rFonts w:ascii="FoundrySterling-MediumOSF" w:hAnsi="FoundrySterling-MediumOSF" w:cs="Arial"/>
                <w:i/>
                <w:iCs/>
                <w:sz w:val="20"/>
                <w:szCs w:val="20"/>
              </w:rPr>
              <w:t>:</w:t>
            </w:r>
            <w:r w:rsidR="00B6499D" w:rsidRPr="004815F3">
              <w:rPr>
                <w:rFonts w:ascii="FoundrySterling-MediumOSF" w:hAnsi="FoundrySterling-MediumOSF"/>
                <w:sz w:val="20"/>
                <w:szCs w:val="20"/>
              </w:rPr>
              <w:t xml:space="preserve"> </w:t>
            </w:r>
            <w:hyperlink r:id="rId15" w:anchor="collapse1031411" w:history="1">
              <w:r w:rsidR="008A593C" w:rsidRPr="008A593C">
                <w:rPr>
                  <w:rStyle w:val="Hyperlink"/>
                  <w:rFonts w:ascii="FoundrySterling-Book" w:hAnsi="FoundrySterling-Book"/>
                  <w:sz w:val="20"/>
                  <w:szCs w:val="20"/>
                </w:rPr>
                <w:t>https://finance.admin.ox.ac.uk/travel-expenses-departmental-guidance#collapse1031411</w:t>
              </w:r>
            </w:hyperlink>
            <w:r w:rsidR="008A593C">
              <w:t xml:space="preserve"> </w:t>
            </w:r>
          </w:p>
        </w:tc>
      </w:tr>
    </w:tbl>
    <w:p w:rsidR="00132AF2" w:rsidRPr="004815F3" w:rsidRDefault="00132AF2">
      <w:pPr>
        <w:rPr>
          <w:rFonts w:ascii="FoundrySterling-MediumOSF" w:hAnsi="FoundrySterling-MediumOSF"/>
          <w:sz w:val="20"/>
          <w:szCs w:val="20"/>
        </w:rPr>
      </w:pPr>
    </w:p>
    <w:p w:rsidR="00051329" w:rsidRDefault="00051329">
      <w:pPr>
        <w:rPr>
          <w:rFonts w:ascii="FoundrySterling-MediumOSF" w:hAnsi="FoundrySterling-MediumOSF"/>
          <w:sz w:val="20"/>
          <w:szCs w:val="20"/>
        </w:rPr>
      </w:pPr>
    </w:p>
    <w:p w:rsidR="004815F3" w:rsidRPr="004815F3" w:rsidRDefault="004815F3">
      <w:pPr>
        <w:rPr>
          <w:rFonts w:ascii="FoundrySterling-MediumOSF" w:hAnsi="FoundrySterling-MediumOSF"/>
          <w:sz w:val="20"/>
          <w:szCs w:val="20"/>
        </w:rPr>
      </w:pPr>
    </w:p>
    <w:p w:rsidR="00132AF2" w:rsidRPr="004815F3" w:rsidRDefault="00132AF2">
      <w:pPr>
        <w:rPr>
          <w:rFonts w:ascii="FoundrySterling-MediumOSF" w:hAnsi="FoundrySterling-MediumOSF"/>
          <w:sz w:val="20"/>
          <w:szCs w:val="20"/>
        </w:rPr>
      </w:pPr>
    </w:p>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12757"/>
        <w:gridCol w:w="1276"/>
      </w:tblGrid>
      <w:tr w:rsidR="00132AF2" w:rsidRPr="004815F3" w:rsidTr="00482303">
        <w:trPr>
          <w:cantSplit/>
        </w:trPr>
        <w:tc>
          <w:tcPr>
            <w:tcW w:w="550" w:type="dxa"/>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lastRenderedPageBreak/>
              <w:t xml:space="preserve">4. </w:t>
            </w:r>
          </w:p>
        </w:tc>
        <w:tc>
          <w:tcPr>
            <w:tcW w:w="14033" w:type="dxa"/>
            <w:gridSpan w:val="2"/>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Staff Entertaining</w:t>
            </w:r>
          </w:p>
        </w:tc>
      </w:tr>
      <w:tr w:rsidR="00132AF2" w:rsidRPr="004815F3">
        <w:trPr>
          <w:cantSplit/>
          <w:trHeight w:val="4686"/>
        </w:trPr>
        <w:tc>
          <w:tcPr>
            <w:tcW w:w="14583" w:type="dxa"/>
            <w:gridSpan w:val="3"/>
            <w:vAlign w:val="center"/>
          </w:tcPr>
          <w:p w:rsidR="00132AF2" w:rsidRPr="004815F3" w:rsidRDefault="00132AF2">
            <w:pPr>
              <w:spacing w:after="120"/>
              <w:rPr>
                <w:rFonts w:ascii="FoundrySterling-MediumOSF" w:eastAsia="Arial Unicode MS" w:hAnsi="FoundrySterling-MediumOSF"/>
                <w:sz w:val="20"/>
                <w:szCs w:val="20"/>
              </w:rPr>
            </w:pPr>
            <w:r w:rsidRPr="004815F3">
              <w:rPr>
                <w:rFonts w:ascii="FoundrySterling-MediumOSF" w:hAnsi="FoundrySterling-MediumOSF"/>
                <w:sz w:val="20"/>
                <w:szCs w:val="20"/>
              </w:rPr>
              <w:t xml:space="preserve">Certain events or functions for staff which are paid for by the </w:t>
            </w:r>
            <w:r w:rsidR="00624B21" w:rsidRPr="004815F3">
              <w:rPr>
                <w:rFonts w:ascii="FoundrySterling-MediumOSF" w:hAnsi="FoundrySterling-MediumOSF"/>
                <w:sz w:val="20"/>
                <w:szCs w:val="20"/>
              </w:rPr>
              <w:t>University</w:t>
            </w:r>
            <w:r w:rsidRPr="004815F3">
              <w:rPr>
                <w:rFonts w:ascii="FoundrySterling-MediumOSF" w:hAnsi="FoundrySterling-MediumOSF"/>
                <w:sz w:val="20"/>
                <w:szCs w:val="20"/>
              </w:rPr>
              <w:t xml:space="preserve"> are </w:t>
            </w:r>
            <w:r w:rsidRPr="004815F3">
              <w:rPr>
                <w:rFonts w:ascii="FoundrySterling-MediumOSF" w:hAnsi="FoundrySterling-MediumOSF"/>
                <w:i/>
                <w:iCs/>
                <w:sz w:val="20"/>
                <w:szCs w:val="20"/>
              </w:rPr>
              <w:t>not</w:t>
            </w:r>
            <w:r w:rsidRPr="004815F3">
              <w:rPr>
                <w:rFonts w:ascii="FoundrySterling-MediumOSF" w:hAnsi="FoundrySterling-MediumOSF"/>
                <w:sz w:val="20"/>
                <w:szCs w:val="20"/>
              </w:rPr>
              <w:t xml:space="preserve"> considered to be a taxable benefit. </w:t>
            </w:r>
            <w:r w:rsidRPr="004815F3">
              <w:rPr>
                <w:rFonts w:ascii="FoundrySterling-MediumOSF" w:hAnsi="FoundrySterling-MediumOSF"/>
                <w:i/>
                <w:iCs/>
                <w:sz w:val="20"/>
                <w:szCs w:val="20"/>
              </w:rPr>
              <w:t>All</w:t>
            </w:r>
            <w:r w:rsidRPr="004815F3">
              <w:rPr>
                <w:rFonts w:ascii="FoundrySterling-MediumOSF" w:hAnsi="FoundrySterling-MediumOSF"/>
                <w:sz w:val="20"/>
                <w:szCs w:val="20"/>
              </w:rPr>
              <w:t xml:space="preserve"> of the following key conditions must apply:</w:t>
            </w:r>
          </w:p>
          <w:p w:rsidR="00132AF2" w:rsidRPr="004815F3" w:rsidRDefault="00320916">
            <w:pPr>
              <w:pStyle w:val="ListBullet"/>
              <w:numPr>
                <w:ilvl w:val="0"/>
                <w:numId w:val="0"/>
              </w:numPr>
              <w:spacing w:after="0"/>
              <w:rPr>
                <w:rFonts w:ascii="FoundrySterling-MediumOSF" w:hAnsi="FoundrySterling-MediumOSF"/>
                <w:sz w:val="20"/>
                <w:szCs w:val="20"/>
              </w:rPr>
            </w:pPr>
            <w:r w:rsidRPr="004815F3">
              <w:rPr>
                <w:rFonts w:ascii="FoundrySterling-MediumOSF" w:hAnsi="FoundrySterling-MediumOSF"/>
                <w:sz w:val="20"/>
                <w:szCs w:val="20"/>
              </w:rPr>
              <w:t>- The event is an annual event</w:t>
            </w:r>
            <w:r w:rsidR="00132AF2" w:rsidRPr="004815F3">
              <w:rPr>
                <w:rFonts w:ascii="FoundrySterling-MediumOSF" w:hAnsi="FoundrySterling-MediumOSF"/>
                <w:sz w:val="20"/>
                <w:szCs w:val="20"/>
              </w:rPr>
              <w:t xml:space="preserve"> </w:t>
            </w:r>
            <w:r w:rsidRPr="004815F3">
              <w:rPr>
                <w:rFonts w:ascii="FoundrySterling-MediumOSF" w:hAnsi="FoundrySterling-MediumOSF"/>
                <w:sz w:val="20"/>
                <w:szCs w:val="20"/>
              </w:rPr>
              <w:t xml:space="preserve">such as a Christmas party or summer barbeque </w:t>
            </w:r>
            <w:r w:rsidR="00132AF2" w:rsidRPr="004815F3">
              <w:rPr>
                <w:rFonts w:ascii="FoundrySterling-MediumOSF" w:hAnsi="FoundrySterling-MediumOSF"/>
                <w:sz w:val="20"/>
                <w:szCs w:val="20"/>
              </w:rPr>
              <w:t xml:space="preserve">and not a one-off. </w:t>
            </w:r>
          </w:p>
          <w:p w:rsidR="00132AF2" w:rsidRPr="004815F3" w:rsidRDefault="00132AF2">
            <w:pPr>
              <w:pStyle w:val="ListBullet"/>
              <w:numPr>
                <w:ilvl w:val="0"/>
                <w:numId w:val="0"/>
              </w:numPr>
              <w:spacing w:after="0"/>
              <w:rPr>
                <w:rFonts w:ascii="FoundrySterling-MediumOSF" w:hAnsi="FoundrySterling-MediumOSF"/>
                <w:sz w:val="20"/>
                <w:szCs w:val="20"/>
              </w:rPr>
            </w:pPr>
            <w:r w:rsidRPr="004815F3">
              <w:rPr>
                <w:rFonts w:ascii="FoundrySterling-MediumOSF" w:hAnsi="FoundrySterling-MediumOSF"/>
                <w:sz w:val="20"/>
                <w:szCs w:val="20"/>
              </w:rPr>
              <w:t xml:space="preserve">- The event is open to all staff and is not limited to specific groups (the definition of groups in this instance, includes research groups, sub-departments, </w:t>
            </w:r>
            <w:proofErr w:type="spellStart"/>
            <w:r w:rsidRPr="004815F3">
              <w:rPr>
                <w:rFonts w:ascii="FoundrySterling-MediumOSF" w:hAnsi="FoundrySterling-MediumOSF"/>
                <w:sz w:val="20"/>
                <w:szCs w:val="20"/>
              </w:rPr>
              <w:t>etc</w:t>
            </w:r>
            <w:proofErr w:type="spellEnd"/>
            <w:r w:rsidRPr="004815F3">
              <w:rPr>
                <w:rFonts w:ascii="FoundrySterling-MediumOSF" w:hAnsi="FoundrySterling-MediumOSF"/>
                <w:sz w:val="20"/>
                <w:szCs w:val="20"/>
              </w:rPr>
              <w:t xml:space="preserve">). </w:t>
            </w:r>
          </w:p>
          <w:p w:rsidR="00132AF2" w:rsidRPr="004815F3" w:rsidRDefault="00132AF2">
            <w:pPr>
              <w:pStyle w:val="ListBullet"/>
              <w:numPr>
                <w:ilvl w:val="0"/>
                <w:numId w:val="0"/>
              </w:numPr>
              <w:spacing w:after="120"/>
              <w:rPr>
                <w:rFonts w:ascii="FoundrySterling-MediumOSF" w:hAnsi="FoundrySterling-MediumOSF"/>
                <w:sz w:val="20"/>
                <w:szCs w:val="20"/>
              </w:rPr>
            </w:pPr>
            <w:r w:rsidRPr="004815F3">
              <w:rPr>
                <w:rFonts w:ascii="FoundrySterling-MediumOSF" w:hAnsi="FoundrySterling-MediumOSF"/>
                <w:sz w:val="20"/>
                <w:szCs w:val="20"/>
              </w:rPr>
              <w:t>- The total</w:t>
            </w:r>
            <w:r w:rsidR="0097616E">
              <w:rPr>
                <w:rFonts w:ascii="FoundrySterling-MediumOSF" w:hAnsi="FoundrySterling-MediumOSF"/>
                <w:sz w:val="20"/>
                <w:szCs w:val="20"/>
              </w:rPr>
              <w:t>, cumulative</w:t>
            </w:r>
            <w:r w:rsidRPr="004815F3">
              <w:rPr>
                <w:rFonts w:ascii="FoundrySterling-MediumOSF" w:hAnsi="FoundrySterling-MediumOSF"/>
                <w:sz w:val="20"/>
                <w:szCs w:val="20"/>
              </w:rPr>
              <w:t xml:space="preserve"> cost of all such events is no more than £150 per head per annum. </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xml:space="preserve">Thus, </w:t>
            </w:r>
            <w:r w:rsidR="007D1A28">
              <w:rPr>
                <w:rFonts w:ascii="FoundrySterling-MediumOSF" w:hAnsi="FoundrySterling-MediumOSF"/>
                <w:sz w:val="20"/>
                <w:szCs w:val="20"/>
              </w:rPr>
              <w:t xml:space="preserve">annual Christmas parties </w:t>
            </w:r>
            <w:r w:rsidRPr="004815F3">
              <w:rPr>
                <w:rFonts w:ascii="FoundrySterling-MediumOSF" w:hAnsi="FoundrySterling-MediumOSF"/>
                <w:sz w:val="20"/>
                <w:szCs w:val="20"/>
              </w:rPr>
              <w:t xml:space="preserve">or summer parties which are open to staff generally and </w:t>
            </w:r>
            <w:r w:rsidR="009879B5">
              <w:rPr>
                <w:rFonts w:ascii="FoundrySterling-MediumOSF" w:hAnsi="FoundrySterling-MediumOSF"/>
                <w:sz w:val="20"/>
                <w:szCs w:val="20"/>
              </w:rPr>
              <w:t xml:space="preserve">where the aggregate </w:t>
            </w:r>
            <w:r w:rsidRPr="004815F3">
              <w:rPr>
                <w:rFonts w:ascii="FoundrySterling-MediumOSF" w:hAnsi="FoundrySterling-MediumOSF"/>
                <w:sz w:val="20"/>
                <w:szCs w:val="20"/>
              </w:rPr>
              <w:t>cost</w:t>
            </w:r>
            <w:r w:rsidR="009879B5">
              <w:rPr>
                <w:rFonts w:ascii="FoundrySterling-MediumOSF" w:hAnsi="FoundrySterling-MediumOSF"/>
                <w:sz w:val="20"/>
                <w:szCs w:val="20"/>
              </w:rPr>
              <w:t xml:space="preserve"> is</w:t>
            </w:r>
            <w:r w:rsidRPr="004815F3">
              <w:rPr>
                <w:rFonts w:ascii="FoundrySterling-MediumOSF" w:hAnsi="FoundrySterling-MediumOSF"/>
                <w:sz w:val="20"/>
                <w:szCs w:val="20"/>
              </w:rPr>
              <w:t xml:space="preserve"> no more than £150 per head per annum are </w:t>
            </w:r>
            <w:r w:rsidRPr="004815F3">
              <w:rPr>
                <w:rFonts w:ascii="FoundrySterling-MediumOSF" w:hAnsi="FoundrySterling-MediumOSF"/>
                <w:i/>
                <w:iCs/>
                <w:sz w:val="20"/>
                <w:szCs w:val="20"/>
              </w:rPr>
              <w:t xml:space="preserve">not </w:t>
            </w:r>
            <w:r w:rsidRPr="004815F3">
              <w:rPr>
                <w:rFonts w:ascii="FoundrySterling-MediumOSF" w:hAnsi="FoundrySterling-MediumOSF"/>
                <w:sz w:val="20"/>
                <w:szCs w:val="20"/>
              </w:rPr>
              <w:t>considered to be a taxable benefit.</w:t>
            </w:r>
          </w:p>
          <w:p w:rsidR="00132AF2" w:rsidRPr="004815F3" w:rsidRDefault="00E875E6">
            <w:pPr>
              <w:spacing w:after="120"/>
              <w:rPr>
                <w:rFonts w:ascii="FoundrySterling-MediumOSF" w:hAnsi="FoundrySterling-MediumOSF"/>
                <w:sz w:val="20"/>
                <w:szCs w:val="20"/>
              </w:rPr>
            </w:pPr>
            <w:r w:rsidRPr="004815F3">
              <w:rPr>
                <w:rFonts w:ascii="FoundrySterling-MediumOSF" w:hAnsi="FoundrySterling-MediumOSF"/>
                <w:sz w:val="20"/>
                <w:szCs w:val="20"/>
              </w:rPr>
              <w:t>Special arrangements</w:t>
            </w:r>
            <w:r w:rsidR="00132AF2" w:rsidRPr="004815F3">
              <w:rPr>
                <w:rFonts w:ascii="FoundrySterling-MediumOSF" w:hAnsi="FoundrySterling-MediumOSF"/>
                <w:sz w:val="20"/>
                <w:szCs w:val="20"/>
              </w:rPr>
              <w:t xml:space="preserve"> exist where, subject to funding being available, one-off events which are open to staff generally can be reimbursed. These events are still taxable, however, but the tax is paid by the Department on behalf of the individuals involved through a PAYE Settlement Agreement.</w:t>
            </w:r>
          </w:p>
          <w:p w:rsidR="00132AF2" w:rsidRPr="004815F3" w:rsidRDefault="00132AF2">
            <w:pPr>
              <w:pStyle w:val="NormalWeb"/>
              <w:rPr>
                <w:rFonts w:ascii="FoundrySterling-MediumOSF" w:hAnsi="FoundrySterling-MediumOSF"/>
                <w:sz w:val="20"/>
                <w:szCs w:val="20"/>
              </w:rPr>
            </w:pPr>
            <w:r w:rsidRPr="004815F3">
              <w:rPr>
                <w:rFonts w:ascii="FoundrySterling-MediumOSF" w:hAnsi="FoundrySterling-MediumOSF"/>
                <w:sz w:val="20"/>
                <w:szCs w:val="20"/>
              </w:rPr>
              <w:t>Where expenses relate to “business lunches” or where working meals are taken other than on University premises,</w:t>
            </w:r>
            <w:r w:rsidR="0097616E">
              <w:rPr>
                <w:rFonts w:ascii="FoundrySterling-MediumOSF" w:hAnsi="FoundrySterling-MediumOSF"/>
                <w:sz w:val="20"/>
                <w:szCs w:val="20"/>
              </w:rPr>
              <w:t xml:space="preserve"> including colleges,</w:t>
            </w:r>
            <w:r w:rsidRPr="004815F3">
              <w:rPr>
                <w:rFonts w:ascii="FoundrySterling-MediumOSF" w:hAnsi="FoundrySterling-MediumOSF"/>
                <w:sz w:val="20"/>
                <w:szCs w:val="20"/>
              </w:rPr>
              <w:t xml:space="preserve"> there will be no tax liability and the full costs may be claimed or provided, but only as long as they meet the criteria </w:t>
            </w:r>
            <w:r w:rsidR="006D6235">
              <w:rPr>
                <w:rFonts w:ascii="FoundrySterling-MediumOSF" w:hAnsi="FoundrySterling-MediumOSF"/>
                <w:sz w:val="20"/>
                <w:szCs w:val="20"/>
              </w:rPr>
              <w:t xml:space="preserve">specified </w:t>
            </w:r>
            <w:r w:rsidRPr="004815F3">
              <w:rPr>
                <w:rFonts w:ascii="FoundrySterling-MediumOSF" w:hAnsi="FoundrySterling-MediumOSF"/>
                <w:sz w:val="20"/>
                <w:szCs w:val="20"/>
              </w:rPr>
              <w:t xml:space="preserve">in the </w:t>
            </w:r>
            <w:r w:rsidR="00103BFA" w:rsidRPr="004815F3">
              <w:rPr>
                <w:rFonts w:ascii="FoundrySterling-MediumOSF" w:hAnsi="FoundrySterling-MediumOSF"/>
                <w:sz w:val="20"/>
                <w:szCs w:val="20"/>
              </w:rPr>
              <w:t>Expenses Guide</w:t>
            </w:r>
            <w:r w:rsidRPr="004815F3">
              <w:rPr>
                <w:rFonts w:ascii="FoundrySterling-MediumOSF" w:hAnsi="FoundrySterling-MediumOSF"/>
                <w:sz w:val="20"/>
                <w:szCs w:val="20"/>
              </w:rPr>
              <w:t xml:space="preserve">. These expenses </w:t>
            </w:r>
            <w:r w:rsidRPr="004815F3">
              <w:rPr>
                <w:rFonts w:ascii="FoundrySterling-MediumOSF" w:hAnsi="FoundrySterling-MediumOSF"/>
                <w:b/>
                <w:bCs/>
                <w:sz w:val="20"/>
                <w:szCs w:val="20"/>
              </w:rPr>
              <w:t>do not</w:t>
            </w:r>
            <w:r w:rsidRPr="004815F3">
              <w:rPr>
                <w:rFonts w:ascii="FoundrySterling-MediumOSF" w:hAnsi="FoundrySterling-MediumOSF"/>
                <w:sz w:val="20"/>
                <w:szCs w:val="20"/>
              </w:rPr>
              <w:t xml:space="preserve"> need to be entered on the P11D return.</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Please answer the following questions:</w:t>
            </w:r>
          </w:p>
        </w:tc>
      </w:tr>
      <w:tr w:rsidR="00132AF2" w:rsidRPr="004815F3">
        <w:tc>
          <w:tcPr>
            <w:tcW w:w="13307" w:type="dxa"/>
            <w:gridSpan w:val="2"/>
            <w:vAlign w:val="center"/>
          </w:tcPr>
          <w:p w:rsidR="00132AF2" w:rsidRPr="006D6235" w:rsidRDefault="00132AF2" w:rsidP="00826A58">
            <w:pPr>
              <w:spacing w:before="120" w:after="120"/>
              <w:rPr>
                <w:rFonts w:ascii="FoundrySterling-MediumOSF" w:hAnsi="FoundrySterling-MediumOSF"/>
                <w:sz w:val="20"/>
                <w:szCs w:val="20"/>
              </w:rPr>
            </w:pPr>
            <w:r w:rsidRPr="004815F3">
              <w:rPr>
                <w:rFonts w:ascii="FoundrySterling-MediumOSF" w:hAnsi="FoundrySterling-MediumOSF"/>
                <w:sz w:val="20"/>
                <w:szCs w:val="20"/>
              </w:rPr>
              <w:t xml:space="preserve">(a) Has your department paid for or reimbursed the costs of staff for any one-off or other events which might be deemed to be taxable, covered by the PAYE Settlement Agreement as described above? </w:t>
            </w:r>
            <w:r w:rsidRPr="004815F3">
              <w:rPr>
                <w:rFonts w:ascii="FoundrySterling-MediumOSF" w:hAnsi="FoundrySterling-MediumOSF"/>
                <w:i/>
                <w:iCs/>
                <w:sz w:val="20"/>
                <w:szCs w:val="20"/>
              </w:rPr>
              <w:t>Please delete as appropriate</w:t>
            </w:r>
            <w:r w:rsidR="006D6235">
              <w:rPr>
                <w:rFonts w:ascii="FoundrySterling-MediumOSF" w:hAnsi="FoundrySterling-MediumOSF"/>
                <w:i/>
                <w:iCs/>
                <w:sz w:val="20"/>
                <w:szCs w:val="20"/>
              </w:rPr>
              <w:t xml:space="preserve">. </w:t>
            </w:r>
            <w:r w:rsidR="006D6235">
              <w:rPr>
                <w:rFonts w:ascii="FoundrySterling-MediumOSF" w:hAnsi="FoundrySterling-MediumOSF"/>
                <w:iCs/>
                <w:sz w:val="20"/>
                <w:szCs w:val="20"/>
              </w:rPr>
              <w:t>If you have answered ‘no’, continue to (c).</w:t>
            </w:r>
          </w:p>
        </w:tc>
        <w:tc>
          <w:tcPr>
            <w:tcW w:w="1276" w:type="dxa"/>
            <w:vAlign w:val="center"/>
          </w:tcPr>
          <w:p w:rsidR="00132AF2" w:rsidRPr="004815F3" w:rsidRDefault="00132AF2">
            <w:pPr>
              <w:spacing w:before="120"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E875E6" w:rsidRPr="004815F3">
        <w:trPr>
          <w:cantSplit/>
          <w:trHeight w:val="680"/>
        </w:trPr>
        <w:tc>
          <w:tcPr>
            <w:tcW w:w="13307" w:type="dxa"/>
            <w:gridSpan w:val="2"/>
            <w:vAlign w:val="center"/>
          </w:tcPr>
          <w:p w:rsidR="00E875E6" w:rsidRPr="004815F3" w:rsidRDefault="00E875E6" w:rsidP="00F76B8F">
            <w:pPr>
              <w:spacing w:after="120"/>
              <w:rPr>
                <w:rFonts w:ascii="FoundrySterling-MediumOSF" w:hAnsi="FoundrySterling-MediumOSF"/>
                <w:sz w:val="20"/>
                <w:szCs w:val="20"/>
              </w:rPr>
            </w:pPr>
            <w:r w:rsidRPr="004815F3">
              <w:rPr>
                <w:rFonts w:ascii="FoundrySterling-MediumOSF" w:hAnsi="FoundrySterling-MediumOSF"/>
                <w:sz w:val="20"/>
                <w:szCs w:val="20"/>
              </w:rPr>
              <w:t>(b)</w:t>
            </w:r>
            <w:r w:rsidR="00F76B8F" w:rsidRPr="004815F3">
              <w:rPr>
                <w:rFonts w:ascii="FoundrySterling-MediumOSF" w:hAnsi="FoundrySterling-MediumOSF"/>
                <w:sz w:val="20"/>
                <w:szCs w:val="20"/>
              </w:rPr>
              <w:t xml:space="preserve"> If the answer to (a) is ‘YES’, h</w:t>
            </w:r>
            <w:r w:rsidRPr="004815F3">
              <w:rPr>
                <w:rFonts w:ascii="FoundrySterling-MediumOSF" w:hAnsi="FoundrySterling-MediumOSF"/>
                <w:sz w:val="20"/>
                <w:szCs w:val="20"/>
              </w:rPr>
              <w:t>as your department submitted a PSA form to Central Finance in relation to this event?</w:t>
            </w:r>
          </w:p>
        </w:tc>
        <w:tc>
          <w:tcPr>
            <w:tcW w:w="1276" w:type="dxa"/>
            <w:vAlign w:val="center"/>
          </w:tcPr>
          <w:p w:rsidR="00E875E6" w:rsidRPr="004815F3" w:rsidRDefault="00E875E6">
            <w:pPr>
              <w:spacing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180629" w:rsidRPr="004815F3">
        <w:trPr>
          <w:cantSplit/>
          <w:trHeight w:val="680"/>
        </w:trPr>
        <w:tc>
          <w:tcPr>
            <w:tcW w:w="13307" w:type="dxa"/>
            <w:gridSpan w:val="2"/>
            <w:vAlign w:val="center"/>
          </w:tcPr>
          <w:p w:rsidR="00180629" w:rsidRPr="004815F3" w:rsidRDefault="00180629">
            <w:pPr>
              <w:spacing w:after="120"/>
              <w:rPr>
                <w:rFonts w:ascii="FoundrySterling-MediumOSF" w:hAnsi="FoundrySterling-MediumOSF"/>
                <w:sz w:val="20"/>
                <w:szCs w:val="20"/>
              </w:rPr>
            </w:pPr>
            <w:r w:rsidRPr="004815F3">
              <w:rPr>
                <w:rFonts w:ascii="FoundrySterling-MediumOSF" w:hAnsi="FoundrySterling-MediumOSF"/>
                <w:sz w:val="20"/>
                <w:szCs w:val="20"/>
              </w:rPr>
              <w:t>If the answer to (b) is ‘NO’, then please complete Appendix 4.</w:t>
            </w:r>
            <w:r w:rsidR="007873BF">
              <w:rPr>
                <w:rFonts w:ascii="FoundrySterling-MediumOSF" w:hAnsi="FoundrySterling-MediumOSF"/>
                <w:sz w:val="20"/>
                <w:szCs w:val="20"/>
              </w:rPr>
              <w:t xml:space="preserve"> Otherwise no further action is required.</w:t>
            </w:r>
          </w:p>
        </w:tc>
        <w:tc>
          <w:tcPr>
            <w:tcW w:w="1276" w:type="dxa"/>
            <w:vAlign w:val="center"/>
          </w:tcPr>
          <w:p w:rsidR="00180629" w:rsidRPr="004815F3" w:rsidRDefault="00180629">
            <w:pPr>
              <w:spacing w:after="120"/>
              <w:rPr>
                <w:rFonts w:ascii="FoundrySterling-MediumOSF" w:hAnsi="FoundrySterling-MediumOSF"/>
                <w:b/>
                <w:bCs/>
                <w:sz w:val="20"/>
                <w:szCs w:val="20"/>
              </w:rPr>
            </w:pPr>
          </w:p>
        </w:tc>
      </w:tr>
      <w:tr w:rsidR="00132AF2" w:rsidRPr="004815F3">
        <w:trPr>
          <w:cantSplit/>
          <w:trHeight w:val="680"/>
        </w:trPr>
        <w:tc>
          <w:tcPr>
            <w:tcW w:w="13307" w:type="dxa"/>
            <w:gridSpan w:val="2"/>
            <w:vAlign w:val="center"/>
          </w:tcPr>
          <w:p w:rsidR="00132AF2" w:rsidRPr="004815F3" w:rsidRDefault="00E875E6">
            <w:pPr>
              <w:spacing w:after="120"/>
              <w:rPr>
                <w:rFonts w:ascii="FoundrySterling-MediumOSF" w:hAnsi="FoundrySterling-MediumOSF"/>
                <w:sz w:val="20"/>
                <w:szCs w:val="20"/>
              </w:rPr>
            </w:pPr>
            <w:r w:rsidRPr="004815F3">
              <w:rPr>
                <w:rFonts w:ascii="FoundrySterling-MediumOSF" w:hAnsi="FoundrySterling-MediumOSF"/>
                <w:sz w:val="20"/>
                <w:szCs w:val="20"/>
              </w:rPr>
              <w:t>(c</w:t>
            </w:r>
            <w:r w:rsidR="00132AF2" w:rsidRPr="004815F3">
              <w:rPr>
                <w:rFonts w:ascii="FoundrySterling-MediumOSF" w:hAnsi="FoundrySterling-MediumOSF"/>
                <w:sz w:val="20"/>
                <w:szCs w:val="20"/>
              </w:rPr>
              <w:t xml:space="preserve">) Has your department paid for or reimbursed the costs of staff for any one-off or other events, which might be deemed to be taxable, </w:t>
            </w:r>
            <w:r w:rsidR="00132AF2" w:rsidRPr="004815F3">
              <w:rPr>
                <w:rFonts w:ascii="FoundrySterling-MediumOSF" w:hAnsi="FoundrySterling-MediumOSF"/>
                <w:b/>
                <w:bCs/>
                <w:sz w:val="20"/>
                <w:szCs w:val="20"/>
              </w:rPr>
              <w:t xml:space="preserve">not </w:t>
            </w:r>
            <w:r w:rsidR="00132AF2" w:rsidRPr="004815F3">
              <w:rPr>
                <w:rFonts w:ascii="FoundrySterling-MediumOSF" w:hAnsi="FoundrySterling-MediumOSF"/>
                <w:sz w:val="20"/>
                <w:szCs w:val="20"/>
              </w:rPr>
              <w:t xml:space="preserve">covered by the PAYE Settlement Agreement as described above? </w:t>
            </w:r>
          </w:p>
        </w:tc>
        <w:tc>
          <w:tcPr>
            <w:tcW w:w="1276" w:type="dxa"/>
            <w:vAlign w:val="center"/>
          </w:tcPr>
          <w:p w:rsidR="00132AF2" w:rsidRPr="004815F3" w:rsidRDefault="00132AF2">
            <w:pPr>
              <w:spacing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132AF2" w:rsidRPr="004815F3">
        <w:trPr>
          <w:cantSplit/>
          <w:trHeight w:val="680"/>
        </w:trPr>
        <w:tc>
          <w:tcPr>
            <w:tcW w:w="14583" w:type="dxa"/>
            <w:gridSpan w:val="3"/>
            <w:vAlign w:val="center"/>
          </w:tcPr>
          <w:p w:rsidR="00132AF2" w:rsidRPr="004815F3" w:rsidRDefault="00E875E6" w:rsidP="00180629">
            <w:pPr>
              <w:spacing w:after="120"/>
              <w:rPr>
                <w:rFonts w:ascii="FoundrySterling-MediumOSF" w:hAnsi="FoundrySterling-MediumOSF"/>
                <w:sz w:val="20"/>
                <w:szCs w:val="20"/>
              </w:rPr>
            </w:pPr>
            <w:r w:rsidRPr="004815F3">
              <w:rPr>
                <w:rFonts w:ascii="FoundrySterling-MediumOSF" w:hAnsi="FoundrySterling-MediumOSF"/>
                <w:sz w:val="20"/>
                <w:szCs w:val="20"/>
              </w:rPr>
              <w:t>If the answer to (c</w:t>
            </w:r>
            <w:r w:rsidR="00132AF2" w:rsidRPr="004815F3">
              <w:rPr>
                <w:rFonts w:ascii="FoundrySterling-MediumOSF" w:hAnsi="FoundrySterling-MediumOSF"/>
                <w:sz w:val="20"/>
                <w:szCs w:val="20"/>
              </w:rPr>
              <w:t>) is ‘YES’, then please complete Appendix 4</w:t>
            </w:r>
            <w:r w:rsidR="00180629" w:rsidRPr="004815F3">
              <w:rPr>
                <w:rFonts w:ascii="FoundrySterling-MediumOSF" w:hAnsi="FoundrySterling-MediumOSF"/>
                <w:sz w:val="20"/>
                <w:szCs w:val="20"/>
              </w:rPr>
              <w:t>.</w:t>
            </w:r>
          </w:p>
        </w:tc>
      </w:tr>
      <w:tr w:rsidR="00132AF2" w:rsidRPr="004815F3">
        <w:trPr>
          <w:cantSplit/>
          <w:trHeight w:val="1111"/>
        </w:trPr>
        <w:tc>
          <w:tcPr>
            <w:tcW w:w="14583" w:type="dxa"/>
            <w:gridSpan w:val="3"/>
            <w:vAlign w:val="center"/>
          </w:tcPr>
          <w:p w:rsidR="00132AF2" w:rsidRPr="004815F3" w:rsidRDefault="00132AF2" w:rsidP="007F5A3B">
            <w:pPr>
              <w:spacing w:after="120"/>
              <w:rPr>
                <w:rFonts w:ascii="FoundrySterling-MediumOSF" w:hAnsi="FoundrySterling-MediumOSF"/>
                <w:sz w:val="20"/>
                <w:szCs w:val="20"/>
              </w:rPr>
            </w:pPr>
            <w:r w:rsidRPr="004815F3">
              <w:rPr>
                <w:rFonts w:ascii="FoundrySterling-MediumOSF" w:hAnsi="FoundrySterling-MediumOSF"/>
                <w:i/>
                <w:iCs/>
                <w:sz w:val="20"/>
                <w:szCs w:val="20"/>
              </w:rPr>
              <w:t xml:space="preserve">For more information on what is not considered to be a taxable benefit in this area and what is, please refer to </w:t>
            </w:r>
            <w:r w:rsidR="007F5A3B">
              <w:rPr>
                <w:rFonts w:ascii="FoundrySterling-MediumOSF" w:hAnsi="FoundrySterling-MediumOSF"/>
                <w:i/>
                <w:iCs/>
                <w:sz w:val="20"/>
                <w:szCs w:val="20"/>
              </w:rPr>
              <w:t>the</w:t>
            </w:r>
            <w:r w:rsidRPr="004815F3">
              <w:rPr>
                <w:rFonts w:ascii="FoundrySterling-MediumOSF" w:hAnsi="FoundrySterling-MediumOSF"/>
                <w:i/>
                <w:iCs/>
                <w:sz w:val="20"/>
                <w:szCs w:val="20"/>
              </w:rPr>
              <w:t xml:space="preserve"> </w:t>
            </w:r>
            <w:r w:rsidR="008A593C">
              <w:rPr>
                <w:rFonts w:ascii="FoundrySterling-MediumOSF" w:hAnsi="FoundrySterling-MediumOSF"/>
                <w:i/>
                <w:iCs/>
                <w:sz w:val="20"/>
                <w:szCs w:val="20"/>
              </w:rPr>
              <w:t xml:space="preserve">Expenses </w:t>
            </w:r>
            <w:r w:rsidR="00103BFA" w:rsidRPr="004815F3">
              <w:rPr>
                <w:rFonts w:ascii="FoundrySterling-MediumOSF" w:hAnsi="FoundrySterling-MediumOSF"/>
                <w:i/>
                <w:iCs/>
                <w:sz w:val="20"/>
                <w:szCs w:val="20"/>
              </w:rPr>
              <w:t>Guide</w:t>
            </w:r>
            <w:r w:rsidRPr="004815F3">
              <w:rPr>
                <w:rFonts w:ascii="FoundrySterling-MediumOSF" w:hAnsi="FoundrySterling-MediumOSF"/>
                <w:i/>
                <w:iCs/>
                <w:sz w:val="20"/>
                <w:szCs w:val="20"/>
              </w:rPr>
              <w:t xml:space="preserve">, available via the following web link: </w:t>
            </w:r>
            <w:r w:rsidR="00B6499D" w:rsidRPr="004815F3">
              <w:rPr>
                <w:rFonts w:ascii="FoundrySterling-MediumOSF" w:hAnsi="FoundrySterling-MediumOSF"/>
                <w:sz w:val="20"/>
                <w:szCs w:val="20"/>
              </w:rPr>
              <w:t xml:space="preserve"> </w:t>
            </w:r>
            <w:r w:rsidR="00954F05" w:rsidRPr="004815F3">
              <w:rPr>
                <w:rFonts w:ascii="FoundrySterling-MediumOSF" w:hAnsi="FoundrySterling-MediumOSF" w:cs="Arial"/>
                <w:i/>
                <w:sz w:val="20"/>
                <w:szCs w:val="20"/>
              </w:rPr>
              <w:t xml:space="preserve"> </w:t>
            </w:r>
            <w:r w:rsidR="006C06D3">
              <w:t xml:space="preserve"> </w:t>
            </w:r>
            <w:hyperlink r:id="rId16" w:history="1">
              <w:r w:rsidR="006C06D3" w:rsidRPr="006C06D3">
                <w:rPr>
                  <w:rStyle w:val="Hyperlink"/>
                  <w:rFonts w:ascii="FoundrySterling-Book" w:hAnsi="FoundrySterling-Book"/>
                  <w:sz w:val="20"/>
                  <w:szCs w:val="20"/>
                </w:rPr>
                <w:t>https://finance.admin.ox.ac.uk/hospitality-and-entertaining-expenses-departmental-guidance</w:t>
              </w:r>
            </w:hyperlink>
            <w:r w:rsidR="006C06D3">
              <w:t xml:space="preserve"> </w:t>
            </w:r>
          </w:p>
        </w:tc>
      </w:tr>
    </w:tbl>
    <w:p w:rsidR="00132AF2" w:rsidRPr="004815F3" w:rsidRDefault="00132AF2">
      <w:pPr>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2757"/>
        <w:gridCol w:w="1276"/>
      </w:tblGrid>
      <w:tr w:rsidR="00132AF2" w:rsidRPr="004815F3" w:rsidTr="00482303">
        <w:trPr>
          <w:cantSplit/>
          <w:jc w:val="center"/>
        </w:trPr>
        <w:tc>
          <w:tcPr>
            <w:tcW w:w="534" w:type="dxa"/>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 xml:space="preserve">5. </w:t>
            </w:r>
          </w:p>
        </w:tc>
        <w:tc>
          <w:tcPr>
            <w:tcW w:w="14033" w:type="dxa"/>
            <w:gridSpan w:val="2"/>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Course Fees</w:t>
            </w:r>
          </w:p>
        </w:tc>
      </w:tr>
      <w:tr w:rsidR="00132AF2" w:rsidRPr="004815F3">
        <w:trPr>
          <w:cantSplit/>
          <w:trHeight w:val="1075"/>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xml:space="preserve">Courses that the University funds or contributes to on behalf of an individual member of staff are not usually taxable </w:t>
            </w:r>
            <w:r w:rsidRPr="008C74FD">
              <w:rPr>
                <w:rFonts w:ascii="FoundrySterling-MediumOSF" w:hAnsi="FoundrySterling-MediumOSF"/>
                <w:b/>
                <w:sz w:val="20"/>
                <w:szCs w:val="20"/>
              </w:rPr>
              <w:t>if they are a requirement of, or closely connected to, the work of the employee</w:t>
            </w:r>
            <w:r w:rsidRPr="004815F3">
              <w:rPr>
                <w:rFonts w:ascii="FoundrySterling-MediumOSF" w:hAnsi="FoundrySterling-MediumOSF"/>
                <w:sz w:val="20"/>
                <w:szCs w:val="20"/>
              </w:rPr>
              <w:t>. Where the course is not linked to the employee’s job, however, payment of fees by the University may result in a taxable benefit that must be notified. Please answer the following question:</w:t>
            </w:r>
          </w:p>
        </w:tc>
      </w:tr>
      <w:tr w:rsidR="00132AF2" w:rsidRPr="004815F3">
        <w:trPr>
          <w:cantSplit/>
          <w:trHeight w:val="715"/>
          <w:jc w:val="center"/>
        </w:trPr>
        <w:tc>
          <w:tcPr>
            <w:tcW w:w="13291" w:type="dxa"/>
            <w:gridSpan w:val="2"/>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xml:space="preserve">(a) Has your department funded any courses for staff where the course is NOT closely connected to the work of the individual concerned? </w:t>
            </w:r>
            <w:r w:rsidRPr="004815F3">
              <w:rPr>
                <w:rFonts w:ascii="FoundrySterling-MediumOSF" w:hAnsi="FoundrySterling-MediumOSF"/>
                <w:i/>
                <w:iCs/>
                <w:sz w:val="20"/>
                <w:szCs w:val="20"/>
              </w:rPr>
              <w:t>Please delete as appropriate</w:t>
            </w:r>
          </w:p>
        </w:tc>
        <w:tc>
          <w:tcPr>
            <w:tcW w:w="1276" w:type="dxa"/>
            <w:vAlign w:val="center"/>
          </w:tcPr>
          <w:p w:rsidR="00132AF2" w:rsidRPr="004815F3" w:rsidRDefault="00132AF2">
            <w:pPr>
              <w:spacing w:before="120"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132AF2" w:rsidRPr="004815F3">
        <w:trPr>
          <w:cantSplit/>
          <w:trHeight w:val="535"/>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If the answer to (a) above is ‘YES’ then please complete Appendix 5, otherwise proceed to section 6.</w:t>
            </w:r>
          </w:p>
        </w:tc>
      </w:tr>
      <w:tr w:rsidR="00132AF2" w:rsidRPr="004815F3">
        <w:trPr>
          <w:cantSplit/>
          <w:trHeight w:val="715"/>
          <w:jc w:val="center"/>
        </w:trPr>
        <w:tc>
          <w:tcPr>
            <w:tcW w:w="14567" w:type="dxa"/>
            <w:gridSpan w:val="3"/>
            <w:vAlign w:val="center"/>
          </w:tcPr>
          <w:p w:rsidR="00132AF2" w:rsidRPr="004815F3" w:rsidRDefault="00132AF2" w:rsidP="008A593C">
            <w:pPr>
              <w:spacing w:after="120"/>
              <w:rPr>
                <w:rFonts w:ascii="FoundrySterling-MediumOSF" w:hAnsi="FoundrySterling-MediumOSF"/>
                <w:sz w:val="20"/>
                <w:szCs w:val="20"/>
              </w:rPr>
            </w:pPr>
            <w:r w:rsidRPr="004815F3">
              <w:rPr>
                <w:rFonts w:ascii="FoundrySterling-MediumOSF" w:hAnsi="FoundrySterling-MediumOSF"/>
                <w:i/>
                <w:iCs/>
                <w:sz w:val="20"/>
                <w:szCs w:val="20"/>
              </w:rPr>
              <w:t xml:space="preserve">For more information on what is not considered to be a taxable benefit in this area and what is, please refer to the current </w:t>
            </w:r>
            <w:r w:rsidR="008A593C">
              <w:rPr>
                <w:rFonts w:ascii="FoundrySterling-MediumOSF" w:hAnsi="FoundrySterling-MediumOSF"/>
                <w:i/>
                <w:iCs/>
                <w:sz w:val="20"/>
                <w:szCs w:val="20"/>
              </w:rPr>
              <w:t xml:space="preserve">Expenses </w:t>
            </w:r>
            <w:r w:rsidR="00103BFA" w:rsidRPr="004815F3">
              <w:rPr>
                <w:rFonts w:ascii="FoundrySterling-MediumOSF" w:hAnsi="FoundrySterling-MediumOSF"/>
                <w:i/>
                <w:iCs/>
                <w:sz w:val="20"/>
                <w:szCs w:val="20"/>
              </w:rPr>
              <w:t>Guide</w:t>
            </w:r>
            <w:r w:rsidRPr="004815F3">
              <w:rPr>
                <w:rFonts w:ascii="FoundrySterling-MediumOSF" w:hAnsi="FoundrySterling-MediumOSF"/>
                <w:i/>
                <w:iCs/>
                <w:sz w:val="20"/>
                <w:szCs w:val="20"/>
              </w:rPr>
              <w:t>, available via the following web link:</w:t>
            </w:r>
            <w:r w:rsidRPr="004815F3">
              <w:rPr>
                <w:rFonts w:ascii="FoundrySterling-MediumOSF" w:hAnsi="FoundrySterling-MediumOSF" w:cs="Arial"/>
                <w:i/>
                <w:iCs/>
                <w:sz w:val="20"/>
                <w:szCs w:val="20"/>
              </w:rPr>
              <w:t xml:space="preserve"> </w:t>
            </w:r>
            <w:hyperlink r:id="rId17" w:anchor="collapse1037366" w:history="1">
              <w:r w:rsidR="008A593C" w:rsidRPr="008A593C">
                <w:rPr>
                  <w:rStyle w:val="Hyperlink"/>
                  <w:rFonts w:ascii="FoundrySterling-Book" w:hAnsi="FoundrySterling-Book"/>
                  <w:sz w:val="20"/>
                  <w:szCs w:val="20"/>
                </w:rPr>
                <w:t>https://finance.admin.ox.ac.uk/miscellaneous-expenses-departmental-guidance#collapse1037366</w:t>
              </w:r>
            </w:hyperlink>
            <w:r w:rsidR="008A593C">
              <w:t xml:space="preserve"> </w:t>
            </w:r>
          </w:p>
        </w:tc>
      </w:tr>
    </w:tbl>
    <w:p w:rsidR="00132AF2" w:rsidRPr="004815F3" w:rsidRDefault="00132AF2">
      <w:pPr>
        <w:spacing w:after="0"/>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2757"/>
        <w:gridCol w:w="1276"/>
      </w:tblGrid>
      <w:tr w:rsidR="00132AF2" w:rsidRPr="004815F3" w:rsidTr="00482303">
        <w:trPr>
          <w:cantSplit/>
          <w:jc w:val="center"/>
        </w:trPr>
        <w:tc>
          <w:tcPr>
            <w:tcW w:w="534" w:type="dxa"/>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 xml:space="preserve">6. </w:t>
            </w:r>
          </w:p>
        </w:tc>
        <w:tc>
          <w:tcPr>
            <w:tcW w:w="14033" w:type="dxa"/>
            <w:gridSpan w:val="2"/>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Accommodation</w:t>
            </w:r>
          </w:p>
        </w:tc>
      </w:tr>
      <w:tr w:rsidR="00132AF2" w:rsidRPr="004815F3">
        <w:trPr>
          <w:cantSplit/>
          <w:trHeight w:val="1021"/>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xml:space="preserve">Please advise us of </w:t>
            </w:r>
            <w:r w:rsidRPr="00ED4A84">
              <w:rPr>
                <w:rFonts w:ascii="FoundrySterling-MediumOSF" w:hAnsi="FoundrySterling-MediumOSF"/>
                <w:b/>
                <w:sz w:val="20"/>
                <w:szCs w:val="20"/>
              </w:rPr>
              <w:t>any person who is provided with accommodation</w:t>
            </w:r>
            <w:r w:rsidRPr="004815F3">
              <w:rPr>
                <w:rFonts w:ascii="FoundrySterling-MediumOSF" w:hAnsi="FoundrySterling-MediumOSF"/>
                <w:sz w:val="20"/>
                <w:szCs w:val="20"/>
              </w:rPr>
              <w:t xml:space="preserve"> or where their rent is being paid over a period of more than one month. This includes any caretakers, security staff etc. We also need to be informed of any utility bills or regular accommodation-related payments that are paid for or reimbursed to any employees including: electricity, gas water, council tax, repairs, decoration etc.</w:t>
            </w:r>
          </w:p>
        </w:tc>
      </w:tr>
      <w:tr w:rsidR="00132AF2" w:rsidRPr="004815F3">
        <w:trPr>
          <w:cantSplit/>
          <w:trHeight w:val="526"/>
          <w:jc w:val="center"/>
        </w:trPr>
        <w:tc>
          <w:tcPr>
            <w:tcW w:w="13291" w:type="dxa"/>
            <w:gridSpan w:val="2"/>
            <w:vAlign w:val="center"/>
          </w:tcPr>
          <w:p w:rsidR="00132AF2" w:rsidRPr="004815F3" w:rsidRDefault="00132AF2" w:rsidP="008C74FD">
            <w:pPr>
              <w:spacing w:after="120"/>
              <w:rPr>
                <w:rFonts w:ascii="FoundrySterling-MediumOSF" w:hAnsi="FoundrySterling-MediumOSF"/>
                <w:sz w:val="20"/>
                <w:szCs w:val="20"/>
              </w:rPr>
            </w:pPr>
            <w:r w:rsidRPr="004815F3">
              <w:rPr>
                <w:rFonts w:ascii="FoundrySterling-MediumOSF" w:hAnsi="FoundrySterling-MediumOSF"/>
                <w:sz w:val="20"/>
                <w:szCs w:val="20"/>
              </w:rPr>
              <w:t xml:space="preserve">(a) </w:t>
            </w:r>
            <w:r w:rsidR="008C74FD">
              <w:rPr>
                <w:rFonts w:ascii="FoundrySterling-MediumOSF" w:hAnsi="FoundrySterling-MediumOSF"/>
                <w:sz w:val="20"/>
                <w:szCs w:val="20"/>
              </w:rPr>
              <w:t>Does your department provide accommodation, or h</w:t>
            </w:r>
            <w:r w:rsidRPr="004815F3">
              <w:rPr>
                <w:rFonts w:ascii="FoundrySterling-MediumOSF" w:hAnsi="FoundrySterling-MediumOSF"/>
                <w:sz w:val="20"/>
                <w:szCs w:val="20"/>
              </w:rPr>
              <w:t xml:space="preserve">as your department reimbursed or paid for any of the expenses detailed above? </w:t>
            </w:r>
            <w:r w:rsidRPr="004815F3">
              <w:rPr>
                <w:rFonts w:ascii="FoundrySterling-MediumOSF" w:hAnsi="FoundrySterling-MediumOSF"/>
                <w:i/>
                <w:iCs/>
                <w:sz w:val="20"/>
                <w:szCs w:val="20"/>
              </w:rPr>
              <w:t>Please delete as appropriate</w:t>
            </w:r>
          </w:p>
        </w:tc>
        <w:tc>
          <w:tcPr>
            <w:tcW w:w="1276" w:type="dxa"/>
            <w:vAlign w:val="center"/>
          </w:tcPr>
          <w:p w:rsidR="00132AF2" w:rsidRPr="004815F3" w:rsidRDefault="00132AF2">
            <w:pPr>
              <w:spacing w:before="120"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132AF2" w:rsidRPr="004815F3">
        <w:trPr>
          <w:cantSplit/>
          <w:trHeight w:val="526"/>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If the answer to (a) above is ‘YES’ then please complete Appendix 6 otherwise proceed to section 7.</w:t>
            </w:r>
          </w:p>
        </w:tc>
      </w:tr>
      <w:tr w:rsidR="00132AF2" w:rsidRPr="004815F3">
        <w:trPr>
          <w:cantSplit/>
          <w:jc w:val="center"/>
        </w:trPr>
        <w:tc>
          <w:tcPr>
            <w:tcW w:w="14567" w:type="dxa"/>
            <w:gridSpan w:val="3"/>
            <w:vAlign w:val="center"/>
          </w:tcPr>
          <w:p w:rsidR="00132AF2" w:rsidRPr="004815F3" w:rsidRDefault="00132AF2" w:rsidP="004E7585">
            <w:pPr>
              <w:spacing w:after="120"/>
              <w:ind w:left="576"/>
              <w:rPr>
                <w:rFonts w:ascii="FoundrySterling-MediumOSF" w:hAnsi="FoundrySterling-MediumOSF"/>
                <w:sz w:val="20"/>
                <w:szCs w:val="20"/>
              </w:rPr>
            </w:pPr>
            <w:r w:rsidRPr="004815F3">
              <w:rPr>
                <w:rFonts w:ascii="FoundrySterling-MediumOSF" w:hAnsi="FoundrySterling-MediumOSF"/>
                <w:i/>
                <w:iCs/>
                <w:sz w:val="20"/>
                <w:szCs w:val="20"/>
              </w:rPr>
              <w:t xml:space="preserve">For more information on what is not considered to be a taxable benefit in this area and what is, please refer to the </w:t>
            </w:r>
            <w:r w:rsidR="00103BFA" w:rsidRPr="004815F3">
              <w:rPr>
                <w:rFonts w:ascii="FoundrySterling-MediumOSF" w:hAnsi="FoundrySterling-MediumOSF"/>
                <w:i/>
                <w:iCs/>
                <w:sz w:val="20"/>
                <w:szCs w:val="20"/>
              </w:rPr>
              <w:t>Expenses Guide</w:t>
            </w:r>
            <w:r w:rsidRPr="004815F3">
              <w:rPr>
                <w:rFonts w:ascii="FoundrySterling-MediumOSF" w:hAnsi="FoundrySterling-MediumOSF"/>
                <w:i/>
                <w:iCs/>
                <w:sz w:val="20"/>
                <w:szCs w:val="20"/>
              </w:rPr>
              <w:t>, available via the following web link:</w:t>
            </w:r>
            <w:r w:rsidR="004E7585">
              <w:rPr>
                <w:rFonts w:ascii="FoundrySterling-MediumOSF" w:hAnsi="FoundrySterling-MediumOSF"/>
                <w:i/>
                <w:iCs/>
                <w:sz w:val="20"/>
                <w:szCs w:val="20"/>
              </w:rPr>
              <w:t xml:space="preserve"> </w:t>
            </w:r>
            <w:hyperlink r:id="rId18" w:history="1">
              <w:r w:rsidR="004E7585" w:rsidRPr="00D83C84">
                <w:rPr>
                  <w:rStyle w:val="Hyperlink"/>
                  <w:rFonts w:ascii="FoundrySterling-MediumOSF" w:hAnsi="FoundrySterling-MediumOSF"/>
                  <w:i/>
                  <w:iCs/>
                  <w:sz w:val="20"/>
                  <w:szCs w:val="20"/>
                </w:rPr>
                <w:t>https://finance.admin.ox.ac.uk/accommodation-and-subsistance-expenses-departmental-guidance</w:t>
              </w:r>
            </w:hyperlink>
            <w:r w:rsidR="004E7585">
              <w:rPr>
                <w:rFonts w:ascii="FoundrySterling-MediumOSF" w:hAnsi="FoundrySterling-MediumOSF"/>
                <w:i/>
                <w:iCs/>
                <w:sz w:val="20"/>
                <w:szCs w:val="20"/>
              </w:rPr>
              <w:t xml:space="preserve"> </w:t>
            </w:r>
          </w:p>
        </w:tc>
      </w:tr>
    </w:tbl>
    <w:p w:rsidR="00132AF2" w:rsidRPr="004815F3" w:rsidRDefault="00132AF2">
      <w:pPr>
        <w:pStyle w:val="Heading2"/>
        <w:spacing w:before="0" w:after="0"/>
        <w:rPr>
          <w:rFonts w:ascii="FoundrySterling-MediumOSF" w:hAnsi="FoundrySterling-MediumOSF"/>
          <w:b w:val="0"/>
          <w:bCs w:val="0"/>
          <w:sz w:val="20"/>
          <w:szCs w:val="20"/>
        </w:rPr>
      </w:pPr>
      <w:r w:rsidRPr="004815F3">
        <w:rPr>
          <w:rFonts w:ascii="FoundrySterling-MediumOSF" w:hAnsi="FoundrySterling-MediumOSF"/>
          <w:b w:val="0"/>
          <w:bCs w:val="0"/>
          <w:sz w:val="20"/>
          <w:szCs w:val="20"/>
        </w:rPr>
        <w:t xml:space="preserve"> </w:t>
      </w:r>
    </w:p>
    <w:p w:rsidR="00BF25FC" w:rsidRPr="004815F3" w:rsidRDefault="00BF25FC" w:rsidP="00BF25FC">
      <w:pPr>
        <w:rPr>
          <w:rFonts w:ascii="FoundrySterling-MediumOSF" w:hAnsi="FoundrySterling-MediumOSF"/>
          <w:sz w:val="20"/>
          <w:szCs w:val="20"/>
        </w:rPr>
      </w:pPr>
    </w:p>
    <w:p w:rsidR="00132AF2" w:rsidRPr="004815F3" w:rsidRDefault="00132AF2">
      <w:pPr>
        <w:rPr>
          <w:rFonts w:ascii="FoundrySterling-MediumOSF" w:hAnsi="FoundrySterling-MediumOSF"/>
          <w:sz w:val="20"/>
          <w:szCs w:val="20"/>
        </w:rPr>
      </w:pPr>
    </w:p>
    <w:p w:rsidR="0073541B" w:rsidRPr="004815F3" w:rsidRDefault="0073541B">
      <w:pPr>
        <w:rPr>
          <w:rFonts w:ascii="FoundrySterling-MediumOSF" w:hAnsi="FoundrySterling-MediumOSF"/>
          <w:sz w:val="20"/>
          <w:szCs w:val="20"/>
        </w:rPr>
      </w:pPr>
    </w:p>
    <w:p w:rsidR="00132AF2" w:rsidRPr="004815F3" w:rsidRDefault="00132AF2">
      <w:pPr>
        <w:rPr>
          <w:rFonts w:ascii="FoundrySterling-MediumOSF" w:hAnsi="FoundrySterling-MediumOS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2757"/>
        <w:gridCol w:w="1276"/>
      </w:tblGrid>
      <w:tr w:rsidR="00132AF2" w:rsidRPr="004815F3" w:rsidTr="00482303">
        <w:trPr>
          <w:cantSplit/>
          <w:jc w:val="center"/>
        </w:trPr>
        <w:tc>
          <w:tcPr>
            <w:tcW w:w="534" w:type="dxa"/>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lastRenderedPageBreak/>
              <w:t xml:space="preserve">7. </w:t>
            </w:r>
          </w:p>
        </w:tc>
        <w:tc>
          <w:tcPr>
            <w:tcW w:w="14033" w:type="dxa"/>
            <w:gridSpan w:val="2"/>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Relocation Expenses</w:t>
            </w:r>
          </w:p>
        </w:tc>
      </w:tr>
      <w:tr w:rsidR="00132AF2" w:rsidRPr="004815F3">
        <w:trPr>
          <w:cantSplit/>
          <w:trHeight w:val="1642"/>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xml:space="preserve">All reimbursements for any relocation costs should be sent to </w:t>
            </w:r>
            <w:r w:rsidR="007C5058" w:rsidRPr="004815F3">
              <w:rPr>
                <w:rFonts w:ascii="FoundrySterling-MediumOSF" w:hAnsi="FoundrySterling-MediumOSF"/>
                <w:sz w:val="20"/>
                <w:szCs w:val="20"/>
              </w:rPr>
              <w:t>the Relocation Officer (</w:t>
            </w:r>
            <w:hyperlink r:id="rId19" w:history="1">
              <w:r w:rsidR="007C5058" w:rsidRPr="004815F3">
                <w:rPr>
                  <w:rStyle w:val="Hyperlink"/>
                  <w:rFonts w:ascii="FoundrySterling-MediumOSF" w:hAnsi="FoundrySterling-MediumOSF"/>
                  <w:sz w:val="20"/>
                  <w:szCs w:val="20"/>
                </w:rPr>
                <w:t>relocationofficer@admin.ox.ac.uk</w:t>
              </w:r>
            </w:hyperlink>
            <w:r w:rsidR="007C5058" w:rsidRPr="004815F3">
              <w:rPr>
                <w:rFonts w:ascii="FoundrySterling-MediumOSF" w:hAnsi="FoundrySterling-MediumOSF"/>
                <w:sz w:val="20"/>
                <w:szCs w:val="20"/>
              </w:rPr>
              <w:t xml:space="preserve">) </w:t>
            </w:r>
            <w:r w:rsidRPr="004815F3">
              <w:rPr>
                <w:rFonts w:ascii="FoundrySterling-MediumOSF" w:hAnsi="FoundrySterling-MediumOSF"/>
                <w:sz w:val="20"/>
                <w:szCs w:val="20"/>
              </w:rPr>
              <w:t xml:space="preserve">who manages the University’s approved relocation scheme. For further details of the scheme please see the following link: </w:t>
            </w:r>
            <w:hyperlink r:id="rId20" w:history="1">
              <w:r w:rsidR="0073541B" w:rsidRPr="004815F3">
                <w:rPr>
                  <w:rStyle w:val="Hyperlink"/>
                  <w:rFonts w:ascii="FoundrySterling-MediumOSF" w:hAnsi="FoundrySterling-MediumOSF"/>
                  <w:sz w:val="20"/>
                  <w:szCs w:val="20"/>
                </w:rPr>
                <w:t>http://www.admin.ox.ac.uk/finance/expenses/relocationscheme/</w:t>
              </w:r>
            </w:hyperlink>
          </w:p>
          <w:p w:rsidR="00132AF2" w:rsidRPr="004815F3" w:rsidRDefault="00132AF2" w:rsidP="007C5058">
            <w:pPr>
              <w:spacing w:after="120"/>
              <w:rPr>
                <w:rFonts w:ascii="FoundrySterling-MediumOSF" w:hAnsi="FoundrySterling-MediumOSF"/>
                <w:sz w:val="20"/>
                <w:szCs w:val="20"/>
              </w:rPr>
            </w:pPr>
            <w:r w:rsidRPr="004815F3">
              <w:rPr>
                <w:rFonts w:ascii="FoundrySterling-MediumOSF" w:hAnsi="FoundrySterling-MediumOSF"/>
                <w:sz w:val="20"/>
                <w:szCs w:val="20"/>
              </w:rPr>
              <w:t xml:space="preserve">No payments relating to relocation of staff, their households or belongings should be made on behalf of or reimbursed to employees outside this scheme, even where they are funded by an outside body, without prior approval of </w:t>
            </w:r>
            <w:r w:rsidR="007C5058" w:rsidRPr="004815F3">
              <w:rPr>
                <w:rFonts w:ascii="FoundrySterling-MediumOSF" w:hAnsi="FoundrySterling-MediumOSF"/>
                <w:sz w:val="20"/>
                <w:szCs w:val="20"/>
              </w:rPr>
              <w:t>the Relocation Officer</w:t>
            </w:r>
            <w:r w:rsidR="00114845" w:rsidRPr="004815F3">
              <w:rPr>
                <w:rFonts w:ascii="FoundrySterling-MediumOSF" w:hAnsi="FoundrySterling-MediumOSF"/>
                <w:sz w:val="20"/>
                <w:szCs w:val="20"/>
              </w:rPr>
              <w:t xml:space="preserve"> </w:t>
            </w:r>
            <w:r w:rsidRPr="004815F3">
              <w:rPr>
                <w:rFonts w:ascii="FoundrySterling-MediumOSF" w:hAnsi="FoundrySterling-MediumOSF"/>
                <w:sz w:val="20"/>
                <w:szCs w:val="20"/>
              </w:rPr>
              <w:t xml:space="preserve">or the </w:t>
            </w:r>
            <w:r w:rsidR="00295106">
              <w:rPr>
                <w:rFonts w:ascii="FoundrySterling-MediumOSF" w:hAnsi="FoundrySterling-MediumOSF"/>
                <w:sz w:val="20"/>
                <w:szCs w:val="20"/>
              </w:rPr>
              <w:t>Head of Payroll</w:t>
            </w:r>
            <w:r w:rsidRPr="004815F3">
              <w:rPr>
                <w:rFonts w:ascii="FoundrySterling-MediumOSF" w:hAnsi="FoundrySterling-MediumOSF"/>
                <w:sz w:val="20"/>
                <w:szCs w:val="20"/>
              </w:rPr>
              <w:t>. Such payments may be considered as benefits in kind by</w:t>
            </w:r>
            <w:r w:rsidR="00A42D78" w:rsidRPr="004815F3">
              <w:rPr>
                <w:rFonts w:ascii="FoundrySterling-MediumOSF" w:hAnsi="FoundrySterling-MediumOSF"/>
                <w:sz w:val="20"/>
                <w:szCs w:val="20"/>
              </w:rPr>
              <w:t xml:space="preserve"> HMRC</w:t>
            </w:r>
            <w:r w:rsidRPr="004815F3">
              <w:rPr>
                <w:rFonts w:ascii="FoundrySterling-MediumOSF" w:hAnsi="FoundrySterling-MediumOSF"/>
                <w:sz w:val="20"/>
                <w:szCs w:val="20"/>
              </w:rPr>
              <w:t>.</w:t>
            </w:r>
          </w:p>
        </w:tc>
      </w:tr>
      <w:tr w:rsidR="00132AF2" w:rsidRPr="004815F3">
        <w:trPr>
          <w:cantSplit/>
          <w:trHeight w:val="715"/>
          <w:jc w:val="center"/>
        </w:trPr>
        <w:tc>
          <w:tcPr>
            <w:tcW w:w="13291" w:type="dxa"/>
            <w:gridSpan w:val="2"/>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xml:space="preserve">(a) Has your department reimbursed or paid for any relocation expenses, including professional fees, removal or storage charges, apart from </w:t>
            </w:r>
            <w:r w:rsidR="00CE4647" w:rsidRPr="004815F3">
              <w:rPr>
                <w:rFonts w:ascii="FoundrySterling-MediumOSF" w:hAnsi="FoundrySterling-MediumOSF"/>
                <w:sz w:val="20"/>
                <w:szCs w:val="20"/>
              </w:rPr>
              <w:t>those paid</w:t>
            </w:r>
            <w:r w:rsidRPr="004815F3">
              <w:rPr>
                <w:rFonts w:ascii="FoundrySterling-MediumOSF" w:hAnsi="FoundrySterling-MediumOSF"/>
                <w:sz w:val="20"/>
                <w:szCs w:val="20"/>
              </w:rPr>
              <w:t xml:space="preserve"> through the approved scheme detailed </w:t>
            </w:r>
            <w:r w:rsidR="00CE4647" w:rsidRPr="004815F3">
              <w:rPr>
                <w:rFonts w:ascii="FoundrySterling-MediumOSF" w:hAnsi="FoundrySterling-MediumOSF"/>
                <w:sz w:val="20"/>
                <w:szCs w:val="20"/>
              </w:rPr>
              <w:t xml:space="preserve">above? </w:t>
            </w:r>
            <w:r w:rsidRPr="004815F3">
              <w:rPr>
                <w:rFonts w:ascii="FoundrySterling-MediumOSF" w:hAnsi="FoundrySterling-MediumOSF"/>
                <w:i/>
                <w:iCs/>
                <w:sz w:val="20"/>
                <w:szCs w:val="20"/>
              </w:rPr>
              <w:t>Please delete as appropriate</w:t>
            </w:r>
          </w:p>
        </w:tc>
        <w:tc>
          <w:tcPr>
            <w:tcW w:w="1276" w:type="dxa"/>
            <w:vAlign w:val="center"/>
          </w:tcPr>
          <w:p w:rsidR="00132AF2" w:rsidRPr="004815F3" w:rsidRDefault="00132AF2">
            <w:pPr>
              <w:spacing w:before="120"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132AF2" w:rsidRPr="004815F3">
        <w:trPr>
          <w:cantSplit/>
          <w:trHeight w:val="535"/>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If the answer to (a) above is ‘YES’ then please complete Appendix 7, otherwise proceed to section 8.</w:t>
            </w:r>
          </w:p>
        </w:tc>
      </w:tr>
      <w:tr w:rsidR="00132AF2" w:rsidRPr="004815F3">
        <w:trPr>
          <w:cantSplit/>
          <w:trHeight w:val="688"/>
          <w:jc w:val="center"/>
        </w:trPr>
        <w:tc>
          <w:tcPr>
            <w:tcW w:w="14567" w:type="dxa"/>
            <w:gridSpan w:val="3"/>
            <w:vAlign w:val="center"/>
          </w:tcPr>
          <w:p w:rsidR="00132AF2" w:rsidRPr="004815F3" w:rsidRDefault="00132AF2" w:rsidP="0073541B">
            <w:pPr>
              <w:spacing w:after="120"/>
              <w:rPr>
                <w:rFonts w:ascii="FoundrySterling-MediumOSF" w:hAnsi="FoundrySterling-MediumOSF"/>
                <w:sz w:val="20"/>
                <w:szCs w:val="20"/>
              </w:rPr>
            </w:pPr>
            <w:r w:rsidRPr="004815F3">
              <w:rPr>
                <w:rFonts w:ascii="FoundrySterling-MediumOSF" w:hAnsi="FoundrySterling-MediumOSF"/>
                <w:i/>
                <w:iCs/>
                <w:sz w:val="20"/>
                <w:szCs w:val="20"/>
              </w:rPr>
              <w:t>For more information on what is not considered to be a taxable benefit in this area and what is, please refer to</w:t>
            </w:r>
            <w:r w:rsidR="00A42D78" w:rsidRPr="004815F3">
              <w:rPr>
                <w:rFonts w:ascii="FoundrySterling-MediumOSF" w:hAnsi="FoundrySterling-MediumOSF"/>
                <w:i/>
                <w:iCs/>
                <w:sz w:val="20"/>
                <w:szCs w:val="20"/>
              </w:rPr>
              <w:t xml:space="preserve"> the Relocation Scheme guidance</w:t>
            </w:r>
            <w:r w:rsidRPr="004815F3">
              <w:rPr>
                <w:rFonts w:ascii="FoundrySterling-MediumOSF" w:hAnsi="FoundrySterling-MediumOSF"/>
                <w:i/>
                <w:iCs/>
                <w:sz w:val="20"/>
                <w:szCs w:val="20"/>
              </w:rPr>
              <w:t xml:space="preserve"> at the following link: </w:t>
            </w:r>
            <w:hyperlink r:id="rId21" w:history="1">
              <w:r w:rsidR="002040BB" w:rsidRPr="002040BB">
                <w:rPr>
                  <w:rStyle w:val="Hyperlink"/>
                  <w:rFonts w:ascii="FoundrySterling-Book" w:hAnsi="FoundrySterling-Book"/>
                  <w:sz w:val="20"/>
                  <w:szCs w:val="20"/>
                </w:rPr>
                <w:t>https://finance.admin.ox.ac.uk/relocation-scheme</w:t>
              </w:r>
            </w:hyperlink>
            <w:r w:rsidR="002040BB">
              <w:t xml:space="preserve"> </w:t>
            </w:r>
          </w:p>
        </w:tc>
      </w:tr>
    </w:tbl>
    <w:p w:rsidR="00132AF2" w:rsidRPr="004815F3" w:rsidRDefault="00132AF2">
      <w:pPr>
        <w:pStyle w:val="Heading2"/>
        <w:spacing w:before="0" w:after="0"/>
        <w:rPr>
          <w:rFonts w:ascii="FoundrySterling-MediumOSF" w:hAnsi="FoundrySterling-MediumOSF"/>
          <w:sz w:val="20"/>
          <w:szCs w:val="20"/>
        </w:rPr>
      </w:pPr>
    </w:p>
    <w:p w:rsidR="00132AF2" w:rsidRPr="004815F3" w:rsidRDefault="00132AF2">
      <w:pPr>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2757"/>
        <w:gridCol w:w="1276"/>
      </w:tblGrid>
      <w:tr w:rsidR="00132AF2" w:rsidRPr="004815F3" w:rsidTr="00482303">
        <w:trPr>
          <w:cantSplit/>
          <w:jc w:val="center"/>
        </w:trPr>
        <w:tc>
          <w:tcPr>
            <w:tcW w:w="534" w:type="dxa"/>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 xml:space="preserve">8. </w:t>
            </w:r>
          </w:p>
        </w:tc>
        <w:tc>
          <w:tcPr>
            <w:tcW w:w="14033" w:type="dxa"/>
            <w:gridSpan w:val="2"/>
            <w:shd w:val="clear" w:color="auto" w:fill="FFFF66"/>
          </w:tcPr>
          <w:p w:rsidR="00132AF2" w:rsidRPr="004815F3" w:rsidRDefault="00132AF2">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Third Party Benefits</w:t>
            </w:r>
          </w:p>
        </w:tc>
      </w:tr>
      <w:tr w:rsidR="00132AF2" w:rsidRPr="004815F3">
        <w:trPr>
          <w:cantSplit/>
          <w:trHeight w:val="1012"/>
          <w:jc w:val="center"/>
        </w:trPr>
        <w:tc>
          <w:tcPr>
            <w:tcW w:w="14567" w:type="dxa"/>
            <w:gridSpan w:val="3"/>
            <w:vAlign w:val="center"/>
          </w:tcPr>
          <w:p w:rsidR="00132AF2" w:rsidRPr="004815F3" w:rsidRDefault="00132AF2" w:rsidP="00A42D78">
            <w:pPr>
              <w:spacing w:after="120"/>
              <w:rPr>
                <w:rFonts w:ascii="FoundrySterling-MediumOSF" w:hAnsi="FoundrySterling-MediumOSF"/>
                <w:sz w:val="20"/>
                <w:szCs w:val="20"/>
              </w:rPr>
            </w:pPr>
            <w:r w:rsidRPr="004815F3">
              <w:rPr>
                <w:rFonts w:ascii="FoundrySterling-MediumOSF" w:hAnsi="FoundrySterling-MediumOSF"/>
                <w:sz w:val="20"/>
                <w:szCs w:val="20"/>
              </w:rPr>
              <w:t xml:space="preserve">Please notify us of any benefits received by individual staff that may have been reimbursed to a third party to pay on their behalf e.g. private health care reimbursed to a College on behalf of an employee or schools fees paid directly to the educational institute. Although we may not be directly paying the provider of the benefit in these instances or reimbursing the individual directly we are </w:t>
            </w:r>
            <w:r w:rsidR="00A42D78" w:rsidRPr="004815F3">
              <w:rPr>
                <w:rFonts w:ascii="FoundrySterling-MediumOSF" w:hAnsi="FoundrySterling-MediumOSF"/>
                <w:sz w:val="20"/>
                <w:szCs w:val="20"/>
              </w:rPr>
              <w:t>still liable to report it to HMRC</w:t>
            </w:r>
            <w:r w:rsidRPr="004815F3">
              <w:rPr>
                <w:rFonts w:ascii="FoundrySterling-MediumOSF" w:hAnsi="FoundrySterling-MediumOSF"/>
                <w:sz w:val="20"/>
                <w:szCs w:val="20"/>
              </w:rPr>
              <w:t>.</w:t>
            </w:r>
          </w:p>
        </w:tc>
      </w:tr>
      <w:tr w:rsidR="00132AF2" w:rsidRPr="004815F3">
        <w:trPr>
          <w:cantSplit/>
          <w:trHeight w:val="535"/>
          <w:jc w:val="center"/>
        </w:trPr>
        <w:tc>
          <w:tcPr>
            <w:tcW w:w="13291" w:type="dxa"/>
            <w:gridSpan w:val="2"/>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xml:space="preserve">(a) Has your department reimbursed or paid for any expenses of the type detailed above? </w:t>
            </w:r>
            <w:r w:rsidRPr="004815F3">
              <w:rPr>
                <w:rFonts w:ascii="FoundrySterling-MediumOSF" w:hAnsi="FoundrySterling-MediumOSF"/>
                <w:i/>
                <w:iCs/>
                <w:sz w:val="20"/>
                <w:szCs w:val="20"/>
              </w:rPr>
              <w:t>Please delete as appropriate</w:t>
            </w:r>
          </w:p>
        </w:tc>
        <w:tc>
          <w:tcPr>
            <w:tcW w:w="1276" w:type="dxa"/>
            <w:vAlign w:val="center"/>
          </w:tcPr>
          <w:p w:rsidR="00132AF2" w:rsidRPr="004815F3" w:rsidRDefault="00132AF2">
            <w:pPr>
              <w:spacing w:before="120"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132AF2" w:rsidRPr="004815F3">
        <w:trPr>
          <w:cantSplit/>
          <w:trHeight w:val="535"/>
          <w:jc w:val="center"/>
        </w:trPr>
        <w:tc>
          <w:tcPr>
            <w:tcW w:w="14567" w:type="dxa"/>
            <w:gridSpan w:val="3"/>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If the answer to (a) above is ‘YES’ then please complete Appendix 8, otherwise proceed to section</w:t>
            </w:r>
            <w:r w:rsidR="00032BA0" w:rsidRPr="004815F3">
              <w:rPr>
                <w:rFonts w:ascii="FoundrySterling-MediumOSF" w:hAnsi="FoundrySterling-MediumOSF"/>
                <w:sz w:val="20"/>
                <w:szCs w:val="20"/>
              </w:rPr>
              <w:t xml:space="preserve"> </w:t>
            </w:r>
            <w:r w:rsidRPr="004815F3">
              <w:rPr>
                <w:rFonts w:ascii="FoundrySterling-MediumOSF" w:hAnsi="FoundrySterling-MediumOSF"/>
                <w:sz w:val="20"/>
                <w:szCs w:val="20"/>
              </w:rPr>
              <w:t>9.</w:t>
            </w:r>
          </w:p>
        </w:tc>
      </w:tr>
    </w:tbl>
    <w:p w:rsidR="00132AF2" w:rsidRPr="004815F3" w:rsidRDefault="00132AF2">
      <w:pPr>
        <w:spacing w:after="0"/>
        <w:rPr>
          <w:rFonts w:ascii="FoundrySterling-MediumOSF" w:hAnsi="FoundrySterling-MediumOSF"/>
          <w:sz w:val="20"/>
          <w:szCs w:val="20"/>
        </w:rPr>
      </w:pPr>
    </w:p>
    <w:p w:rsidR="00132AF2" w:rsidRPr="004815F3" w:rsidRDefault="00132AF2">
      <w:pPr>
        <w:spacing w:after="0"/>
        <w:jc w:val="both"/>
        <w:rPr>
          <w:rFonts w:ascii="FoundrySterling-MediumOSF" w:hAnsi="FoundrySterling-MediumOSF"/>
          <w:b/>
          <w:bCs/>
          <w:sz w:val="20"/>
          <w:szCs w:val="20"/>
        </w:rPr>
      </w:pPr>
    </w:p>
    <w:p w:rsidR="00132AF2" w:rsidRPr="004815F3" w:rsidRDefault="00132AF2">
      <w:pPr>
        <w:spacing w:after="0"/>
        <w:jc w:val="both"/>
        <w:rPr>
          <w:rFonts w:ascii="FoundrySterling-MediumOSF" w:hAnsi="FoundrySterling-MediumOSF"/>
          <w:b/>
          <w:bCs/>
          <w:sz w:val="20"/>
          <w:szCs w:val="20"/>
        </w:rPr>
      </w:pPr>
    </w:p>
    <w:p w:rsidR="00132AF2" w:rsidRPr="004815F3" w:rsidRDefault="00132AF2">
      <w:pPr>
        <w:spacing w:after="0"/>
        <w:jc w:val="both"/>
        <w:rPr>
          <w:rFonts w:ascii="FoundrySterling-MediumOSF" w:hAnsi="FoundrySterling-MediumOSF"/>
          <w:b/>
          <w:bCs/>
          <w:sz w:val="20"/>
          <w:szCs w:val="20"/>
        </w:rPr>
      </w:pPr>
    </w:p>
    <w:p w:rsidR="00132AF2" w:rsidRDefault="00132AF2">
      <w:pPr>
        <w:spacing w:after="0"/>
        <w:jc w:val="both"/>
        <w:rPr>
          <w:rFonts w:ascii="FoundrySterling-MediumOSF" w:hAnsi="FoundrySterling-MediumOSF"/>
          <w:b/>
          <w:bCs/>
          <w:sz w:val="20"/>
          <w:szCs w:val="20"/>
        </w:rPr>
      </w:pPr>
    </w:p>
    <w:p w:rsidR="00663E15" w:rsidRDefault="00663E15">
      <w:pPr>
        <w:spacing w:after="0"/>
        <w:jc w:val="both"/>
        <w:rPr>
          <w:rFonts w:ascii="FoundrySterling-MediumOSF" w:hAnsi="FoundrySterling-MediumOSF"/>
          <w:b/>
          <w:bCs/>
          <w:sz w:val="20"/>
          <w:szCs w:val="20"/>
        </w:rPr>
      </w:pPr>
    </w:p>
    <w:p w:rsidR="00663E15" w:rsidRPr="004815F3" w:rsidRDefault="00663E15">
      <w:pPr>
        <w:spacing w:after="0"/>
        <w:jc w:val="both"/>
        <w:rPr>
          <w:rFonts w:ascii="FoundrySterling-MediumOSF" w:hAnsi="FoundrySterling-MediumOSF"/>
          <w:b/>
          <w:bCs/>
          <w:sz w:val="20"/>
          <w:szCs w:val="20"/>
        </w:rPr>
      </w:pPr>
    </w:p>
    <w:p w:rsidR="00132AF2" w:rsidRPr="004815F3" w:rsidRDefault="00132AF2">
      <w:pPr>
        <w:spacing w:after="0"/>
        <w:jc w:val="both"/>
        <w:rPr>
          <w:rFonts w:ascii="FoundrySterling-MediumOSF" w:hAnsi="FoundrySterling-MediumOSF"/>
          <w:b/>
          <w:bCs/>
          <w:sz w:val="20"/>
          <w:szCs w:val="20"/>
        </w:rPr>
      </w:pPr>
    </w:p>
    <w:p w:rsidR="00132AF2" w:rsidRPr="004815F3" w:rsidRDefault="00132AF2">
      <w:pPr>
        <w:spacing w:after="0"/>
        <w:jc w:val="both"/>
        <w:rPr>
          <w:rFonts w:ascii="FoundrySterling-MediumOSF" w:hAnsi="FoundrySterling-MediumOSF"/>
          <w:b/>
          <w:bCs/>
          <w:sz w:val="20"/>
          <w:szCs w:val="20"/>
        </w:rPr>
      </w:pPr>
    </w:p>
    <w:p w:rsidR="00132AF2" w:rsidRPr="004815F3" w:rsidRDefault="00132AF2">
      <w:pPr>
        <w:spacing w:after="0"/>
        <w:jc w:val="both"/>
        <w:rPr>
          <w:rFonts w:ascii="FoundrySterling-MediumOSF" w:hAnsi="FoundrySterling-MediumOSF"/>
          <w:b/>
          <w:bCs/>
          <w:sz w:val="20"/>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2840"/>
        <w:gridCol w:w="1200"/>
      </w:tblGrid>
      <w:tr w:rsidR="00132AF2" w:rsidRPr="004815F3" w:rsidTr="00482303">
        <w:trPr>
          <w:cantSplit/>
        </w:trPr>
        <w:tc>
          <w:tcPr>
            <w:tcW w:w="480" w:type="dxa"/>
            <w:shd w:val="clear" w:color="auto" w:fill="FFFF66"/>
          </w:tcPr>
          <w:p w:rsidR="00132AF2" w:rsidRPr="004815F3" w:rsidRDefault="00132AF2">
            <w:pPr>
              <w:spacing w:before="120" w:after="120"/>
              <w:jc w:val="both"/>
              <w:rPr>
                <w:rFonts w:ascii="FoundrySterling-MediumOSF" w:hAnsi="FoundrySterling-MediumOSF"/>
                <w:b/>
                <w:bCs/>
                <w:sz w:val="20"/>
                <w:szCs w:val="20"/>
              </w:rPr>
            </w:pPr>
            <w:r w:rsidRPr="004815F3">
              <w:rPr>
                <w:rFonts w:ascii="FoundrySterling-MediumOSF" w:hAnsi="FoundrySterling-MediumOSF"/>
                <w:b/>
                <w:bCs/>
                <w:sz w:val="20"/>
                <w:szCs w:val="20"/>
              </w:rPr>
              <w:lastRenderedPageBreak/>
              <w:t>9.</w:t>
            </w:r>
          </w:p>
        </w:tc>
        <w:tc>
          <w:tcPr>
            <w:tcW w:w="14040" w:type="dxa"/>
            <w:gridSpan w:val="2"/>
            <w:shd w:val="clear" w:color="auto" w:fill="FFFF66"/>
          </w:tcPr>
          <w:p w:rsidR="00132AF2" w:rsidRPr="004815F3" w:rsidRDefault="00132AF2">
            <w:pPr>
              <w:spacing w:before="120" w:after="120"/>
              <w:jc w:val="both"/>
              <w:rPr>
                <w:rFonts w:ascii="FoundrySterling-MediumOSF" w:hAnsi="FoundrySterling-MediumOSF"/>
                <w:b/>
                <w:bCs/>
                <w:sz w:val="20"/>
                <w:szCs w:val="20"/>
              </w:rPr>
            </w:pPr>
            <w:r w:rsidRPr="004815F3">
              <w:rPr>
                <w:rFonts w:ascii="FoundrySterling-MediumOSF" w:hAnsi="FoundrySterling-MediumOSF"/>
                <w:b/>
                <w:bCs/>
                <w:sz w:val="20"/>
                <w:szCs w:val="20"/>
              </w:rPr>
              <w:t>Subscriptions to Professional Bodies/ Journals and Periodicals</w:t>
            </w:r>
          </w:p>
        </w:tc>
      </w:tr>
      <w:tr w:rsidR="00132AF2" w:rsidRPr="004815F3" w:rsidTr="00852A04">
        <w:trPr>
          <w:cantSplit/>
          <w:trHeight w:val="2772"/>
        </w:trPr>
        <w:tc>
          <w:tcPr>
            <w:tcW w:w="14520" w:type="dxa"/>
            <w:gridSpan w:val="3"/>
          </w:tcPr>
          <w:p w:rsidR="00132AF2" w:rsidRPr="004815F3" w:rsidRDefault="00132AF2">
            <w:pPr>
              <w:jc w:val="both"/>
              <w:rPr>
                <w:rFonts w:ascii="FoundrySterling-MediumOSF" w:hAnsi="FoundrySterling-MediumOSF"/>
                <w:sz w:val="20"/>
                <w:szCs w:val="20"/>
              </w:rPr>
            </w:pPr>
            <w:r w:rsidRPr="004815F3">
              <w:rPr>
                <w:rFonts w:ascii="FoundrySterling-MediumOSF" w:hAnsi="FoundrySterling-MediumOSF"/>
                <w:b/>
                <w:bCs/>
                <w:sz w:val="20"/>
                <w:szCs w:val="20"/>
              </w:rPr>
              <w:br/>
              <w:t>- Subscriptions</w:t>
            </w:r>
            <w:r w:rsidR="002040BB">
              <w:rPr>
                <w:rFonts w:ascii="FoundrySterling-MediumOSF" w:hAnsi="FoundrySterling-MediumOSF"/>
                <w:b/>
                <w:bCs/>
                <w:sz w:val="20"/>
                <w:szCs w:val="20"/>
              </w:rPr>
              <w:t>/Membership</w:t>
            </w:r>
            <w:r w:rsidRPr="004815F3">
              <w:rPr>
                <w:rFonts w:ascii="FoundrySterling-MediumOSF" w:hAnsi="FoundrySterling-MediumOSF"/>
                <w:b/>
                <w:bCs/>
                <w:sz w:val="20"/>
                <w:szCs w:val="20"/>
              </w:rPr>
              <w:t xml:space="preserve"> to Professional Bodies</w:t>
            </w:r>
            <w:r w:rsidR="00970902">
              <w:rPr>
                <w:rFonts w:ascii="FoundrySterling-MediumOSF" w:hAnsi="FoundrySterling-MediumOSF"/>
                <w:sz w:val="20"/>
                <w:szCs w:val="20"/>
              </w:rPr>
              <w:t xml:space="preserve"> listed on</w:t>
            </w:r>
            <w:r w:rsidRPr="004815F3">
              <w:rPr>
                <w:rFonts w:ascii="FoundrySterling-MediumOSF" w:hAnsi="FoundrySterling-MediumOSF"/>
                <w:sz w:val="20"/>
                <w:szCs w:val="20"/>
              </w:rPr>
              <w:t xml:space="preserve"> HMRC’s list 3 and where an employee is required by their contract to be a member of a professional body are covered by a</w:t>
            </w:r>
            <w:r w:rsidR="002040BB">
              <w:rPr>
                <w:rFonts w:ascii="FoundrySterling-MediumOSF" w:hAnsi="FoundrySterling-MediumOSF"/>
                <w:sz w:val="20"/>
                <w:szCs w:val="20"/>
              </w:rPr>
              <w:t>n exemption</w:t>
            </w:r>
            <w:r w:rsidRPr="004815F3">
              <w:rPr>
                <w:rFonts w:ascii="FoundrySterling-MediumOSF" w:hAnsi="FoundrySterling-MediumOSF"/>
                <w:sz w:val="20"/>
                <w:szCs w:val="20"/>
              </w:rPr>
              <w:t xml:space="preserve"> and are not required to be reported on the P11D return. </w:t>
            </w:r>
          </w:p>
          <w:p w:rsidR="00132AF2" w:rsidRPr="004815F3" w:rsidRDefault="00132AF2">
            <w:pPr>
              <w:jc w:val="both"/>
              <w:rPr>
                <w:rFonts w:ascii="FoundrySterling-MediumOSF" w:hAnsi="FoundrySterling-MediumOSF"/>
                <w:sz w:val="20"/>
                <w:szCs w:val="20"/>
              </w:rPr>
            </w:pPr>
            <w:r w:rsidRPr="004815F3">
              <w:rPr>
                <w:rFonts w:ascii="FoundrySterling-MediumOSF" w:hAnsi="FoundrySterling-MediumOSF"/>
                <w:sz w:val="20"/>
                <w:szCs w:val="20"/>
              </w:rPr>
              <w:t xml:space="preserve">The details of the list 3 can be found at </w:t>
            </w:r>
            <w:hyperlink r:id="rId22" w:history="1">
              <w:r w:rsidR="00355EB8" w:rsidRPr="004815F3">
                <w:rPr>
                  <w:rStyle w:val="Hyperlink"/>
                  <w:rFonts w:ascii="FoundrySterling-MediumOSF" w:hAnsi="FoundrySterling-MediumOSF"/>
                  <w:sz w:val="20"/>
                  <w:szCs w:val="20"/>
                </w:rPr>
                <w:t>http://www.hmrc.gov.uk/list3/index.htm</w:t>
              </w:r>
            </w:hyperlink>
          </w:p>
          <w:p w:rsidR="00132AF2" w:rsidRPr="004815F3" w:rsidRDefault="00132AF2">
            <w:pPr>
              <w:jc w:val="both"/>
              <w:rPr>
                <w:rFonts w:ascii="FoundrySterling-MediumOSF" w:hAnsi="FoundrySterling-MediumOSF"/>
                <w:sz w:val="20"/>
                <w:szCs w:val="20"/>
              </w:rPr>
            </w:pPr>
            <w:r w:rsidRPr="004815F3">
              <w:rPr>
                <w:rFonts w:ascii="FoundrySterling-MediumOSF" w:hAnsi="FoundrySterling-MediumOSF"/>
                <w:sz w:val="20"/>
                <w:szCs w:val="20"/>
              </w:rPr>
              <w:t>Please check this list before signing off reimbursement of a subscription</w:t>
            </w:r>
            <w:r w:rsidR="002040BB">
              <w:rPr>
                <w:rFonts w:ascii="FoundrySterling-MediumOSF" w:hAnsi="FoundrySterling-MediumOSF"/>
                <w:sz w:val="20"/>
                <w:szCs w:val="20"/>
              </w:rPr>
              <w:t>/membership</w:t>
            </w:r>
            <w:r w:rsidRPr="004815F3">
              <w:rPr>
                <w:rFonts w:ascii="FoundrySterling-MediumOSF" w:hAnsi="FoundrySterling-MediumOSF"/>
                <w:sz w:val="20"/>
                <w:szCs w:val="20"/>
              </w:rPr>
              <w:t xml:space="preserve"> fee and refer to the </w:t>
            </w:r>
            <w:r w:rsidR="002040BB">
              <w:rPr>
                <w:rFonts w:ascii="FoundrySterling-MediumOSF" w:hAnsi="FoundrySterling-MediumOSF"/>
                <w:sz w:val="20"/>
                <w:szCs w:val="20"/>
              </w:rPr>
              <w:t xml:space="preserve">Expenses </w:t>
            </w:r>
            <w:r w:rsidR="00103BFA" w:rsidRPr="004815F3">
              <w:rPr>
                <w:rFonts w:ascii="FoundrySterling-MediumOSF" w:hAnsi="FoundrySterling-MediumOSF"/>
                <w:sz w:val="20"/>
                <w:szCs w:val="20"/>
              </w:rPr>
              <w:t>Guide</w:t>
            </w:r>
            <w:r w:rsidRPr="004815F3">
              <w:rPr>
                <w:rFonts w:ascii="FoundrySterling-MediumOSF" w:hAnsi="FoundrySterling-MediumOSF"/>
                <w:sz w:val="20"/>
                <w:szCs w:val="20"/>
              </w:rPr>
              <w:t xml:space="preserve"> at</w:t>
            </w:r>
            <w:r w:rsidR="00245339">
              <w:rPr>
                <w:rFonts w:ascii="FoundrySterling-MediumOSF" w:hAnsi="FoundrySterling-MediumOSF"/>
                <w:sz w:val="20"/>
                <w:szCs w:val="20"/>
              </w:rPr>
              <w:t xml:space="preserve"> </w:t>
            </w:r>
            <w:hyperlink r:id="rId23" w:anchor="collapse1036276" w:history="1">
              <w:r w:rsidR="00245339" w:rsidRPr="00D83C84">
                <w:rPr>
                  <w:rStyle w:val="Hyperlink"/>
                  <w:rFonts w:ascii="FoundrySterling-MediumOSF" w:hAnsi="FoundrySterling-MediumOSF"/>
                  <w:sz w:val="20"/>
                  <w:szCs w:val="20"/>
                </w:rPr>
                <w:t>https://finance.admin.ox.ac.uk/miscellaneous-expenses-departmental-guidance#collapse1036276</w:t>
              </w:r>
            </w:hyperlink>
            <w:r w:rsidR="00245339">
              <w:rPr>
                <w:rFonts w:ascii="FoundrySterling-MediumOSF" w:hAnsi="FoundrySterling-MediumOSF"/>
                <w:sz w:val="20"/>
                <w:szCs w:val="20"/>
              </w:rPr>
              <w:t xml:space="preserve"> </w:t>
            </w:r>
            <w:r w:rsidRPr="004815F3">
              <w:rPr>
                <w:rFonts w:ascii="FoundrySterling-MediumOSF" w:hAnsi="FoundrySterling-MediumOSF"/>
                <w:sz w:val="20"/>
                <w:szCs w:val="20"/>
              </w:rPr>
              <w:t xml:space="preserve"> </w:t>
            </w:r>
          </w:p>
          <w:p w:rsidR="00132AF2" w:rsidRPr="004815F3" w:rsidRDefault="00132AF2">
            <w:pPr>
              <w:jc w:val="both"/>
              <w:rPr>
                <w:rFonts w:ascii="FoundrySterling-MediumOSF" w:hAnsi="FoundrySterling-MediumOSF"/>
                <w:b/>
                <w:bCs/>
                <w:sz w:val="20"/>
                <w:szCs w:val="20"/>
              </w:rPr>
            </w:pPr>
            <w:r w:rsidRPr="004815F3">
              <w:rPr>
                <w:rFonts w:ascii="FoundrySterling-MediumOSF" w:hAnsi="FoundrySterling-MediumOSF"/>
                <w:sz w:val="20"/>
                <w:szCs w:val="20"/>
              </w:rPr>
              <w:t>Subscriptions to journals or periodicals should be made in the departments name wherever possible. Reimbursements to individuals for personal subscriptions</w:t>
            </w:r>
            <w:r w:rsidR="00180629" w:rsidRPr="004815F3">
              <w:rPr>
                <w:rFonts w:ascii="FoundrySterling-MediumOSF" w:hAnsi="FoundrySterling-MediumOSF"/>
                <w:sz w:val="20"/>
                <w:szCs w:val="20"/>
              </w:rPr>
              <w:t xml:space="preserve"> not on HMRC’s list 3</w:t>
            </w:r>
            <w:r w:rsidRPr="004815F3">
              <w:rPr>
                <w:rFonts w:ascii="FoundrySterling-MediumOSF" w:hAnsi="FoundrySterling-MediumOSF"/>
                <w:sz w:val="20"/>
                <w:szCs w:val="20"/>
              </w:rPr>
              <w:t xml:space="preserve"> are liable to both tax and Class 1 NI deductions and should be made through their payroll record.</w:t>
            </w:r>
          </w:p>
        </w:tc>
      </w:tr>
      <w:tr w:rsidR="00132AF2" w:rsidRPr="004815F3">
        <w:trPr>
          <w:cantSplit/>
        </w:trPr>
        <w:tc>
          <w:tcPr>
            <w:tcW w:w="13320" w:type="dxa"/>
            <w:gridSpan w:val="2"/>
            <w:vAlign w:val="center"/>
          </w:tcPr>
          <w:p w:rsidR="00132AF2" w:rsidRPr="004815F3" w:rsidRDefault="00132AF2">
            <w:pPr>
              <w:jc w:val="both"/>
              <w:rPr>
                <w:rFonts w:ascii="FoundrySterling-MediumOSF" w:hAnsi="FoundrySterling-MediumOSF"/>
                <w:b/>
                <w:bCs/>
                <w:sz w:val="20"/>
                <w:szCs w:val="20"/>
              </w:rPr>
            </w:pPr>
            <w:r w:rsidRPr="004815F3">
              <w:rPr>
                <w:rFonts w:ascii="FoundrySterling-MediumOSF" w:hAnsi="FoundrySterling-MediumOSF"/>
                <w:sz w:val="20"/>
                <w:szCs w:val="20"/>
              </w:rPr>
              <w:br/>
              <w:t xml:space="preserve">a) Has your department reimbursed or paid for any expenses of the type detailed above that are </w:t>
            </w:r>
            <w:r w:rsidRPr="004815F3">
              <w:rPr>
                <w:rFonts w:ascii="FoundrySterling-MediumOSF" w:hAnsi="FoundrySterling-MediumOSF"/>
                <w:i/>
                <w:iCs/>
                <w:sz w:val="20"/>
                <w:szCs w:val="20"/>
              </w:rPr>
              <w:t xml:space="preserve">not </w:t>
            </w:r>
            <w:r w:rsidRPr="004815F3">
              <w:rPr>
                <w:rFonts w:ascii="FoundrySterling-MediumOSF" w:hAnsi="FoundrySterling-MediumOSF"/>
                <w:sz w:val="20"/>
                <w:szCs w:val="20"/>
              </w:rPr>
              <w:t xml:space="preserve">on the HMRC’s list 3 or are personal subscriptions to journals or periodicals </w:t>
            </w:r>
            <w:r w:rsidRPr="008C74FD">
              <w:rPr>
                <w:rFonts w:ascii="FoundrySterling-MediumOSF" w:hAnsi="FoundrySterling-MediumOSF"/>
                <w:b/>
                <w:sz w:val="20"/>
                <w:szCs w:val="20"/>
              </w:rPr>
              <w:t>that have not been processed through the payroll?</w:t>
            </w:r>
            <w:r w:rsidRPr="004815F3">
              <w:rPr>
                <w:rFonts w:ascii="FoundrySterling-MediumOSF" w:hAnsi="FoundrySterling-MediumOSF"/>
                <w:sz w:val="20"/>
                <w:szCs w:val="20"/>
              </w:rPr>
              <w:t xml:space="preserve"> </w:t>
            </w:r>
            <w:r w:rsidRPr="004815F3">
              <w:rPr>
                <w:rFonts w:ascii="FoundrySterling-MediumOSF" w:hAnsi="FoundrySterling-MediumOSF"/>
                <w:i/>
                <w:iCs/>
                <w:sz w:val="20"/>
                <w:szCs w:val="20"/>
              </w:rPr>
              <w:t>Please delete as appropriate</w:t>
            </w:r>
          </w:p>
        </w:tc>
        <w:tc>
          <w:tcPr>
            <w:tcW w:w="1200" w:type="dxa"/>
            <w:vAlign w:val="center"/>
          </w:tcPr>
          <w:p w:rsidR="00132AF2" w:rsidRPr="004815F3" w:rsidRDefault="00132AF2">
            <w:pPr>
              <w:jc w:val="both"/>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132AF2" w:rsidRPr="004815F3">
        <w:trPr>
          <w:cantSplit/>
        </w:trPr>
        <w:tc>
          <w:tcPr>
            <w:tcW w:w="14520" w:type="dxa"/>
            <w:gridSpan w:val="3"/>
            <w:vAlign w:val="center"/>
          </w:tcPr>
          <w:p w:rsidR="00132AF2" w:rsidRPr="004815F3" w:rsidRDefault="00132AF2">
            <w:pPr>
              <w:jc w:val="both"/>
              <w:rPr>
                <w:rFonts w:ascii="FoundrySterling-MediumOSF" w:hAnsi="FoundrySterling-MediumOSF"/>
                <w:b/>
                <w:bCs/>
                <w:sz w:val="20"/>
                <w:szCs w:val="20"/>
              </w:rPr>
            </w:pPr>
            <w:r w:rsidRPr="004815F3">
              <w:rPr>
                <w:rFonts w:ascii="FoundrySterling-MediumOSF" w:hAnsi="FoundrySterling-MediumOSF"/>
                <w:sz w:val="20"/>
                <w:szCs w:val="20"/>
              </w:rPr>
              <w:br/>
              <w:t>If the answer to (a) above is ‘YES’ then please complete Appendix 9 and attach a copy of the expenses claim form so tax and NI can be recovered though the payroll, otherwise proceed to section 10.</w:t>
            </w:r>
          </w:p>
        </w:tc>
      </w:tr>
    </w:tbl>
    <w:p w:rsidR="00663E15" w:rsidRDefault="00663E15">
      <w:pPr>
        <w:jc w:val="both"/>
        <w:rPr>
          <w:rFonts w:ascii="FoundrySterling-MediumOSF" w:hAnsi="FoundrySterling-MediumOSF"/>
          <w:b/>
          <w:bCs/>
          <w:sz w:val="20"/>
          <w:szCs w:val="20"/>
        </w:rPr>
      </w:pPr>
    </w:p>
    <w:p w:rsidR="00B42697" w:rsidRPr="004815F3" w:rsidRDefault="00B42697">
      <w:pPr>
        <w:jc w:val="both"/>
        <w:rPr>
          <w:rFonts w:ascii="FoundrySterling-MediumOSF" w:hAnsi="FoundrySterling-MediumOSF"/>
          <w:b/>
          <w:bCs/>
          <w:sz w:val="20"/>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2840"/>
        <w:gridCol w:w="1200"/>
      </w:tblGrid>
      <w:tr w:rsidR="00852A04" w:rsidRPr="004815F3" w:rsidTr="00482303">
        <w:trPr>
          <w:cantSplit/>
        </w:trPr>
        <w:tc>
          <w:tcPr>
            <w:tcW w:w="480" w:type="dxa"/>
            <w:shd w:val="clear" w:color="auto" w:fill="FFFF66"/>
          </w:tcPr>
          <w:p w:rsidR="00852A04" w:rsidRPr="004815F3" w:rsidRDefault="00F762D4" w:rsidP="00C5161A">
            <w:pPr>
              <w:spacing w:before="120" w:after="120"/>
              <w:jc w:val="both"/>
              <w:rPr>
                <w:rFonts w:ascii="FoundrySterling-MediumOSF" w:hAnsi="FoundrySterling-MediumOSF"/>
                <w:b/>
                <w:bCs/>
                <w:sz w:val="20"/>
                <w:szCs w:val="20"/>
              </w:rPr>
            </w:pPr>
            <w:r>
              <w:rPr>
                <w:rFonts w:ascii="FoundrySterling-MediumOSF" w:hAnsi="FoundrySterling-MediumOSF"/>
                <w:b/>
                <w:bCs/>
                <w:sz w:val="20"/>
                <w:szCs w:val="20"/>
              </w:rPr>
              <w:t>10</w:t>
            </w:r>
            <w:r w:rsidR="00852A04" w:rsidRPr="004815F3">
              <w:rPr>
                <w:rFonts w:ascii="FoundrySterling-MediumOSF" w:hAnsi="FoundrySterling-MediumOSF"/>
                <w:b/>
                <w:bCs/>
                <w:sz w:val="20"/>
                <w:szCs w:val="20"/>
              </w:rPr>
              <w:t>.</w:t>
            </w:r>
          </w:p>
        </w:tc>
        <w:tc>
          <w:tcPr>
            <w:tcW w:w="14040" w:type="dxa"/>
            <w:gridSpan w:val="2"/>
            <w:shd w:val="clear" w:color="auto" w:fill="FFFF66"/>
          </w:tcPr>
          <w:p w:rsidR="00852A04" w:rsidRPr="004815F3" w:rsidRDefault="00663E15" w:rsidP="00C5161A">
            <w:pPr>
              <w:spacing w:before="120" w:after="120"/>
              <w:jc w:val="both"/>
              <w:rPr>
                <w:rFonts w:ascii="FoundrySterling-MediumOSF" w:hAnsi="FoundrySterling-MediumOSF"/>
                <w:b/>
                <w:bCs/>
                <w:sz w:val="20"/>
                <w:szCs w:val="20"/>
              </w:rPr>
            </w:pPr>
            <w:r>
              <w:rPr>
                <w:rFonts w:ascii="FoundrySterling-MediumOSF" w:hAnsi="FoundrySterling-MediumOSF"/>
                <w:b/>
                <w:bCs/>
                <w:sz w:val="20"/>
                <w:szCs w:val="20"/>
              </w:rPr>
              <w:t>Assets bought , sold or given to employees</w:t>
            </w:r>
          </w:p>
        </w:tc>
      </w:tr>
      <w:tr w:rsidR="00852A04" w:rsidRPr="004815F3" w:rsidTr="00B42697">
        <w:trPr>
          <w:cantSplit/>
          <w:trHeight w:val="1578"/>
        </w:trPr>
        <w:tc>
          <w:tcPr>
            <w:tcW w:w="14520" w:type="dxa"/>
            <w:gridSpan w:val="3"/>
          </w:tcPr>
          <w:p w:rsidR="00663E15" w:rsidRPr="00B42697" w:rsidRDefault="00663E15" w:rsidP="00056BF7">
            <w:pPr>
              <w:jc w:val="both"/>
              <w:rPr>
                <w:rFonts w:ascii="FoundrySterling-MediumOSF" w:hAnsi="FoundrySterling-MediumOSF"/>
                <w:bCs/>
                <w:sz w:val="20"/>
                <w:szCs w:val="20"/>
              </w:rPr>
            </w:pPr>
            <w:r>
              <w:rPr>
                <w:rFonts w:ascii="FoundrySterling-MediumOSF" w:hAnsi="FoundrySterling-MediumOSF"/>
                <w:b/>
                <w:bCs/>
                <w:sz w:val="20"/>
                <w:szCs w:val="20"/>
              </w:rPr>
              <w:br/>
              <w:t xml:space="preserve">- Assets bought, sold or given </w:t>
            </w:r>
            <w:r>
              <w:rPr>
                <w:rFonts w:ascii="FoundrySterling-MediumOSF" w:hAnsi="FoundrySterling-MediumOSF"/>
                <w:bCs/>
                <w:sz w:val="20"/>
                <w:szCs w:val="20"/>
              </w:rPr>
              <w:t>to an employee will give rise to certain tax and Nat</w:t>
            </w:r>
            <w:r w:rsidR="00056BF7">
              <w:rPr>
                <w:rFonts w:ascii="FoundrySterling-MediumOSF" w:hAnsi="FoundrySterling-MediumOSF"/>
                <w:bCs/>
                <w:sz w:val="20"/>
                <w:szCs w:val="20"/>
              </w:rPr>
              <w:t>ional Insurance obligations. E.g</w:t>
            </w:r>
            <w:r>
              <w:rPr>
                <w:rFonts w:ascii="FoundrySterling-MediumOSF" w:hAnsi="FoundrySterling-MediumOSF"/>
                <w:bCs/>
                <w:sz w:val="20"/>
                <w:szCs w:val="20"/>
              </w:rPr>
              <w:t xml:space="preserve">. </w:t>
            </w:r>
            <w:r w:rsidR="00056BF7">
              <w:rPr>
                <w:rFonts w:ascii="FoundrySterling-MediumOSF" w:hAnsi="FoundrySterling-MediumOSF"/>
                <w:bCs/>
                <w:sz w:val="20"/>
                <w:szCs w:val="20"/>
              </w:rPr>
              <w:t>Laptops</w:t>
            </w:r>
            <w:r>
              <w:rPr>
                <w:rFonts w:ascii="FoundrySterling-MediumOSF" w:hAnsi="FoundrySterling-MediumOSF"/>
                <w:bCs/>
                <w:sz w:val="20"/>
                <w:szCs w:val="20"/>
              </w:rPr>
              <w:t xml:space="preserve"> or mobile phones where they are not </w:t>
            </w:r>
            <w:r w:rsidR="00F762D4">
              <w:rPr>
                <w:rFonts w:ascii="FoundrySterling-MediumOSF" w:hAnsi="FoundrySterling-MediumOSF"/>
                <w:bCs/>
                <w:sz w:val="20"/>
                <w:szCs w:val="20"/>
              </w:rPr>
              <w:t xml:space="preserve">recovered </w:t>
            </w:r>
            <w:r>
              <w:rPr>
                <w:rFonts w:ascii="FoundrySterling-MediumOSF" w:hAnsi="FoundrySterling-MediumOSF"/>
                <w:bCs/>
                <w:sz w:val="20"/>
                <w:szCs w:val="20"/>
              </w:rPr>
              <w:t>when an employee leaves University employment. T</w:t>
            </w:r>
            <w:r w:rsidR="00622C14">
              <w:rPr>
                <w:rFonts w:ascii="FoundrySterling-MediumOSF" w:hAnsi="FoundrySterling-MediumOSF"/>
                <w:bCs/>
                <w:sz w:val="20"/>
                <w:szCs w:val="20"/>
              </w:rPr>
              <w:t>he</w:t>
            </w:r>
            <w:r>
              <w:rPr>
                <w:rFonts w:ascii="FoundrySterling-MediumOSF" w:hAnsi="FoundrySterling-MediumOSF"/>
                <w:bCs/>
                <w:sz w:val="20"/>
                <w:szCs w:val="20"/>
              </w:rPr>
              <w:t xml:space="preserve"> transfer of</w:t>
            </w:r>
            <w:r w:rsidR="00622C14">
              <w:rPr>
                <w:rFonts w:ascii="FoundrySterling-MediumOSF" w:hAnsi="FoundrySterling-MediumOSF"/>
                <w:bCs/>
                <w:sz w:val="20"/>
                <w:szCs w:val="20"/>
              </w:rPr>
              <w:t xml:space="preserve"> these</w:t>
            </w:r>
            <w:r>
              <w:rPr>
                <w:rFonts w:ascii="FoundrySterling-MediumOSF" w:hAnsi="FoundrySterling-MediumOSF"/>
                <w:bCs/>
                <w:sz w:val="20"/>
                <w:szCs w:val="20"/>
              </w:rPr>
              <w:t xml:space="preserve"> asset</w:t>
            </w:r>
            <w:r w:rsidR="00622C14">
              <w:rPr>
                <w:rFonts w:ascii="FoundrySterling-MediumOSF" w:hAnsi="FoundrySterling-MediumOSF"/>
                <w:bCs/>
                <w:sz w:val="20"/>
                <w:szCs w:val="20"/>
              </w:rPr>
              <w:t>s</w:t>
            </w:r>
            <w:r>
              <w:rPr>
                <w:rFonts w:ascii="FoundrySterling-MediumOSF" w:hAnsi="FoundrySterling-MediumOSF"/>
                <w:bCs/>
                <w:sz w:val="20"/>
                <w:szCs w:val="20"/>
              </w:rPr>
              <w:t xml:space="preserve"> is reportable on the P11D return</w:t>
            </w:r>
            <w:r w:rsidR="00622C14">
              <w:rPr>
                <w:rFonts w:ascii="FoundrySterling-MediumOSF" w:hAnsi="FoundrySterling-MediumOSF"/>
                <w:bCs/>
                <w:sz w:val="20"/>
                <w:szCs w:val="20"/>
              </w:rPr>
              <w:t xml:space="preserve">. </w:t>
            </w:r>
            <w:r w:rsidR="00B42697">
              <w:rPr>
                <w:rFonts w:ascii="FoundrySterling-MediumOSF" w:hAnsi="FoundrySterling-MediumOSF"/>
                <w:bCs/>
                <w:sz w:val="20"/>
                <w:szCs w:val="20"/>
              </w:rPr>
              <w:br/>
            </w:r>
            <w:r w:rsidR="00F762D4">
              <w:rPr>
                <w:rFonts w:ascii="FoundrySterling-MediumOSF" w:hAnsi="FoundrySterling-MediumOSF"/>
                <w:bCs/>
                <w:sz w:val="20"/>
                <w:szCs w:val="20"/>
              </w:rPr>
              <w:br/>
            </w:r>
            <w:r w:rsidR="00622C14">
              <w:rPr>
                <w:rFonts w:ascii="FoundrySterling-MediumOSF" w:hAnsi="FoundrySterling-MediumOSF"/>
                <w:bCs/>
                <w:sz w:val="20"/>
                <w:szCs w:val="20"/>
              </w:rPr>
              <w:t xml:space="preserve">The value of the asset </w:t>
            </w:r>
            <w:r w:rsidR="00A435D7">
              <w:rPr>
                <w:rFonts w:ascii="FoundrySterling-MediumOSF" w:hAnsi="FoundrySterling-MediumOSF"/>
                <w:bCs/>
                <w:sz w:val="20"/>
                <w:szCs w:val="20"/>
              </w:rPr>
              <w:t>is its</w:t>
            </w:r>
            <w:r w:rsidR="00F762D4">
              <w:rPr>
                <w:rFonts w:ascii="FoundrySterling-MediumOSF" w:hAnsi="FoundrySterling-MediumOSF"/>
                <w:bCs/>
                <w:sz w:val="20"/>
                <w:szCs w:val="20"/>
              </w:rPr>
              <w:t xml:space="preserve"> second-hand </w:t>
            </w:r>
            <w:r w:rsidR="00A435D7">
              <w:rPr>
                <w:rFonts w:ascii="FoundrySterling-MediumOSF" w:hAnsi="FoundrySterling-MediumOSF"/>
                <w:bCs/>
                <w:sz w:val="20"/>
                <w:szCs w:val="20"/>
              </w:rPr>
              <w:t>value at the point of transfer or sale.</w:t>
            </w:r>
          </w:p>
        </w:tc>
      </w:tr>
      <w:tr w:rsidR="00852A04" w:rsidRPr="004815F3" w:rsidTr="00C5161A">
        <w:trPr>
          <w:cantSplit/>
        </w:trPr>
        <w:tc>
          <w:tcPr>
            <w:tcW w:w="13320" w:type="dxa"/>
            <w:gridSpan w:val="2"/>
            <w:vAlign w:val="center"/>
          </w:tcPr>
          <w:p w:rsidR="00852A04" w:rsidRPr="004815F3" w:rsidRDefault="00F762D4" w:rsidP="00F762D4">
            <w:pPr>
              <w:jc w:val="both"/>
              <w:rPr>
                <w:rFonts w:ascii="FoundrySterling-MediumOSF" w:hAnsi="FoundrySterling-MediumOSF"/>
                <w:b/>
                <w:bCs/>
                <w:sz w:val="20"/>
                <w:szCs w:val="20"/>
              </w:rPr>
            </w:pPr>
            <w:r w:rsidRPr="004815F3">
              <w:rPr>
                <w:rFonts w:ascii="FoundrySterling-MediumOSF" w:hAnsi="FoundrySterling-MediumOSF"/>
                <w:sz w:val="20"/>
                <w:szCs w:val="20"/>
              </w:rPr>
              <w:t xml:space="preserve">a) Has your department </w:t>
            </w:r>
            <w:r>
              <w:rPr>
                <w:rFonts w:ascii="FoundrySterling-MediumOSF" w:hAnsi="FoundrySterling-MediumOSF"/>
                <w:sz w:val="20"/>
                <w:szCs w:val="20"/>
              </w:rPr>
              <w:t xml:space="preserve">transferred </w:t>
            </w:r>
            <w:r w:rsidR="00A435D7">
              <w:rPr>
                <w:rFonts w:ascii="FoundrySterling-MediumOSF" w:hAnsi="FoundrySterling-MediumOSF"/>
                <w:sz w:val="20"/>
                <w:szCs w:val="20"/>
              </w:rPr>
              <w:t xml:space="preserve">or sold </w:t>
            </w:r>
            <w:r>
              <w:rPr>
                <w:rFonts w:ascii="FoundrySterling-MediumOSF" w:hAnsi="FoundrySterling-MediumOSF"/>
                <w:sz w:val="20"/>
                <w:szCs w:val="20"/>
              </w:rPr>
              <w:t>any assets</w:t>
            </w:r>
            <w:r w:rsidRPr="004815F3">
              <w:rPr>
                <w:rFonts w:ascii="FoundrySterling-MediumOSF" w:hAnsi="FoundrySterling-MediumOSF"/>
                <w:sz w:val="20"/>
                <w:szCs w:val="20"/>
              </w:rPr>
              <w:t xml:space="preserve"> of the type detailed above </w:t>
            </w:r>
            <w:r w:rsidRPr="004815F3">
              <w:rPr>
                <w:rFonts w:ascii="FoundrySterling-MediumOSF" w:hAnsi="FoundrySterling-MediumOSF"/>
                <w:i/>
                <w:iCs/>
                <w:sz w:val="20"/>
                <w:szCs w:val="20"/>
              </w:rPr>
              <w:t>Please delete as appropriate</w:t>
            </w:r>
            <w:r w:rsidR="00852A04" w:rsidRPr="004815F3">
              <w:rPr>
                <w:rFonts w:ascii="FoundrySterling-MediumOSF" w:hAnsi="FoundrySterling-MediumOSF"/>
                <w:sz w:val="20"/>
                <w:szCs w:val="20"/>
              </w:rPr>
              <w:br/>
            </w:r>
          </w:p>
        </w:tc>
        <w:tc>
          <w:tcPr>
            <w:tcW w:w="1200" w:type="dxa"/>
            <w:vAlign w:val="center"/>
          </w:tcPr>
          <w:p w:rsidR="00852A04" w:rsidRPr="004815F3" w:rsidRDefault="00852A04" w:rsidP="00C5161A">
            <w:pPr>
              <w:jc w:val="both"/>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852A04" w:rsidRPr="004815F3" w:rsidTr="00C5161A">
        <w:trPr>
          <w:cantSplit/>
        </w:trPr>
        <w:tc>
          <w:tcPr>
            <w:tcW w:w="14520" w:type="dxa"/>
            <w:gridSpan w:val="3"/>
            <w:vAlign w:val="center"/>
          </w:tcPr>
          <w:p w:rsidR="00852A04" w:rsidRPr="004815F3" w:rsidRDefault="00852A04" w:rsidP="00F762D4">
            <w:pPr>
              <w:jc w:val="both"/>
              <w:rPr>
                <w:rFonts w:ascii="FoundrySterling-MediumOSF" w:hAnsi="FoundrySterling-MediumOSF"/>
                <w:b/>
                <w:bCs/>
                <w:sz w:val="20"/>
                <w:szCs w:val="20"/>
              </w:rPr>
            </w:pPr>
            <w:r w:rsidRPr="004815F3">
              <w:rPr>
                <w:rFonts w:ascii="FoundrySterling-MediumOSF" w:hAnsi="FoundrySterling-MediumOSF"/>
                <w:sz w:val="20"/>
                <w:szCs w:val="20"/>
              </w:rPr>
              <w:br/>
            </w:r>
            <w:r w:rsidR="00F762D4" w:rsidRPr="004815F3">
              <w:rPr>
                <w:rFonts w:ascii="FoundrySterling-MediumOSF" w:hAnsi="FoundrySterling-MediumOSF"/>
                <w:sz w:val="20"/>
                <w:szCs w:val="20"/>
              </w:rPr>
              <w:t>If the answer to (a) above is ‘YES’</w:t>
            </w:r>
            <w:r w:rsidR="000B6184">
              <w:rPr>
                <w:rFonts w:ascii="FoundrySterling-MediumOSF" w:hAnsi="FoundrySterling-MediumOSF"/>
                <w:sz w:val="20"/>
                <w:szCs w:val="20"/>
              </w:rPr>
              <w:t xml:space="preserve"> then please complete Appendix 10</w:t>
            </w:r>
            <w:r w:rsidR="00F762D4" w:rsidRPr="004815F3">
              <w:rPr>
                <w:rFonts w:ascii="FoundrySterling-MediumOSF" w:hAnsi="FoundrySterling-MediumOSF"/>
                <w:sz w:val="20"/>
                <w:szCs w:val="20"/>
              </w:rPr>
              <w:t xml:space="preserve">, otherwise proceed to section </w:t>
            </w:r>
            <w:r w:rsidR="00F762D4">
              <w:rPr>
                <w:rFonts w:ascii="FoundrySterling-MediumOSF" w:hAnsi="FoundrySterling-MediumOSF"/>
                <w:sz w:val="20"/>
                <w:szCs w:val="20"/>
              </w:rPr>
              <w:t>11</w:t>
            </w:r>
            <w:r w:rsidR="00F762D4" w:rsidRPr="004815F3">
              <w:rPr>
                <w:rFonts w:ascii="FoundrySterling-MediumOSF" w:hAnsi="FoundrySterling-MediumOSF"/>
                <w:sz w:val="20"/>
                <w:szCs w:val="20"/>
              </w:rPr>
              <w:t>.</w:t>
            </w:r>
          </w:p>
        </w:tc>
      </w:tr>
    </w:tbl>
    <w:p w:rsidR="00132AF2" w:rsidRPr="004815F3" w:rsidRDefault="00132AF2">
      <w:pPr>
        <w:jc w:val="both"/>
        <w:rPr>
          <w:rFonts w:ascii="FoundrySterling-MediumOSF" w:hAnsi="FoundrySterling-MediumOSF"/>
          <w:b/>
          <w:bCs/>
          <w:sz w:val="20"/>
          <w:szCs w:val="20"/>
        </w:rPr>
      </w:pPr>
    </w:p>
    <w:tbl>
      <w:tblPr>
        <w:tblpPr w:leftFromText="180" w:rightFromText="180" w:vertAnchor="page" w:horzAnchor="margin" w:tblpXSpec="center"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12363"/>
        <w:gridCol w:w="1595"/>
      </w:tblGrid>
      <w:tr w:rsidR="00852A04" w:rsidRPr="004815F3" w:rsidTr="00482303">
        <w:trPr>
          <w:cantSplit/>
        </w:trPr>
        <w:tc>
          <w:tcPr>
            <w:tcW w:w="550" w:type="dxa"/>
            <w:shd w:val="clear" w:color="auto" w:fill="FFFF66"/>
          </w:tcPr>
          <w:p w:rsidR="00852A04" w:rsidRPr="004815F3" w:rsidRDefault="00852A04" w:rsidP="00C5161A">
            <w:pPr>
              <w:spacing w:before="120" w:after="120"/>
              <w:jc w:val="both"/>
              <w:rPr>
                <w:rFonts w:ascii="FoundrySterling-MediumOSF" w:hAnsi="FoundrySterling-MediumOSF"/>
                <w:sz w:val="20"/>
                <w:szCs w:val="20"/>
              </w:rPr>
            </w:pPr>
            <w:r>
              <w:rPr>
                <w:rFonts w:ascii="FoundrySterling-MediumOSF" w:hAnsi="FoundrySterling-MediumOSF"/>
                <w:b/>
                <w:bCs/>
                <w:sz w:val="20"/>
                <w:szCs w:val="20"/>
              </w:rPr>
              <w:lastRenderedPageBreak/>
              <w:t>11</w:t>
            </w:r>
            <w:r w:rsidRPr="004815F3">
              <w:rPr>
                <w:rFonts w:ascii="FoundrySterling-MediumOSF" w:hAnsi="FoundrySterling-MediumOSF"/>
                <w:b/>
                <w:bCs/>
                <w:sz w:val="20"/>
                <w:szCs w:val="20"/>
              </w:rPr>
              <w:t xml:space="preserve">. </w:t>
            </w:r>
          </w:p>
        </w:tc>
        <w:tc>
          <w:tcPr>
            <w:tcW w:w="13958" w:type="dxa"/>
            <w:gridSpan w:val="2"/>
            <w:shd w:val="clear" w:color="auto" w:fill="FFFF66"/>
          </w:tcPr>
          <w:p w:rsidR="00852A04" w:rsidRPr="004815F3" w:rsidRDefault="00852A04" w:rsidP="00C5161A">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Other Benefits</w:t>
            </w:r>
          </w:p>
        </w:tc>
      </w:tr>
      <w:tr w:rsidR="00852A04" w:rsidRPr="004815F3" w:rsidTr="00C5161A">
        <w:trPr>
          <w:cantSplit/>
          <w:trHeight w:val="2875"/>
        </w:trPr>
        <w:tc>
          <w:tcPr>
            <w:tcW w:w="14508" w:type="dxa"/>
            <w:gridSpan w:val="3"/>
            <w:vAlign w:val="center"/>
          </w:tcPr>
          <w:p w:rsidR="00852A04" w:rsidRPr="004815F3" w:rsidRDefault="00852A04" w:rsidP="00C5161A">
            <w:pPr>
              <w:spacing w:after="120"/>
              <w:rPr>
                <w:rFonts w:ascii="FoundrySterling-MediumOSF" w:hAnsi="FoundrySterling-MediumOSF"/>
                <w:sz w:val="20"/>
                <w:szCs w:val="20"/>
              </w:rPr>
            </w:pPr>
            <w:r w:rsidRPr="004815F3">
              <w:rPr>
                <w:rFonts w:ascii="FoundrySterling-MediumOSF" w:hAnsi="FoundrySterling-MediumOSF"/>
                <w:sz w:val="20"/>
                <w:szCs w:val="20"/>
              </w:rPr>
              <w:t>We also need to know about other benefits that have been paid which may need to be reported. These include:</w:t>
            </w:r>
          </w:p>
          <w:p w:rsidR="00852A04" w:rsidRPr="004815F3" w:rsidRDefault="00852A04" w:rsidP="00C5161A">
            <w:pPr>
              <w:spacing w:after="120"/>
              <w:rPr>
                <w:rFonts w:ascii="FoundrySterling-MediumOSF" w:hAnsi="FoundrySterling-MediumOSF"/>
                <w:sz w:val="20"/>
                <w:szCs w:val="20"/>
              </w:rPr>
            </w:pPr>
            <w:r w:rsidRPr="004815F3">
              <w:rPr>
                <w:rFonts w:ascii="FoundrySterling-MediumOSF" w:hAnsi="FoundrySterling-MediumOSF"/>
                <w:sz w:val="20"/>
                <w:szCs w:val="20"/>
              </w:rPr>
              <w:t xml:space="preserve">- </w:t>
            </w:r>
            <w:r w:rsidRPr="004815F3">
              <w:rPr>
                <w:rFonts w:ascii="FoundrySterling-MediumOSF" w:hAnsi="FoundrySterling-MediumOSF"/>
                <w:b/>
                <w:bCs/>
                <w:sz w:val="20"/>
                <w:szCs w:val="20"/>
              </w:rPr>
              <w:t>Loans</w:t>
            </w:r>
            <w:r w:rsidRPr="004815F3">
              <w:rPr>
                <w:rFonts w:ascii="FoundrySterling-MediumOSF" w:hAnsi="FoundrySterling-MediumOSF"/>
                <w:sz w:val="20"/>
                <w:szCs w:val="20"/>
              </w:rPr>
              <w:t xml:space="preserve"> whic</w:t>
            </w:r>
            <w:r w:rsidR="007873BF">
              <w:rPr>
                <w:rFonts w:ascii="FoundrySterling-MediumOSF" w:hAnsi="FoundrySterling-MediumOSF"/>
                <w:sz w:val="20"/>
                <w:szCs w:val="20"/>
              </w:rPr>
              <w:t>h have been made to individuals, excluding cycle loans and train/bus/parking loans.</w:t>
            </w:r>
          </w:p>
          <w:p w:rsidR="00852A04" w:rsidRPr="00FC2B1C" w:rsidRDefault="00852A04" w:rsidP="00C5161A">
            <w:pPr>
              <w:spacing w:after="120"/>
              <w:rPr>
                <w:rFonts w:ascii="FoundrySterling-MediumOSF" w:hAnsi="FoundrySterling-MediumOSF"/>
                <w:sz w:val="20"/>
                <w:szCs w:val="20"/>
              </w:rPr>
            </w:pPr>
            <w:r w:rsidRPr="004815F3">
              <w:rPr>
                <w:rFonts w:ascii="FoundrySterling-MediumOSF" w:hAnsi="FoundrySterling-MediumOSF"/>
                <w:sz w:val="20"/>
                <w:szCs w:val="20"/>
              </w:rPr>
              <w:br/>
              <w:t xml:space="preserve">- </w:t>
            </w:r>
            <w:r w:rsidR="001A414B">
              <w:rPr>
                <w:rFonts w:ascii="FoundrySterling-MediumOSF" w:hAnsi="FoundrySterling-MediumOSF"/>
                <w:b/>
                <w:bCs/>
                <w:sz w:val="20"/>
                <w:szCs w:val="20"/>
              </w:rPr>
              <w:t>Childcare expenses</w:t>
            </w:r>
            <w:r w:rsidRPr="004815F3">
              <w:rPr>
                <w:rFonts w:ascii="FoundrySterling-MediumOSF" w:hAnsi="FoundrySterling-MediumOSF"/>
                <w:sz w:val="20"/>
                <w:szCs w:val="20"/>
              </w:rPr>
              <w:t xml:space="preserve"> where </w:t>
            </w:r>
            <w:r w:rsidR="001A414B">
              <w:rPr>
                <w:rFonts w:ascii="FoundrySterling-MediumOSF" w:hAnsi="FoundrySterling-MediumOSF"/>
                <w:sz w:val="20"/>
                <w:szCs w:val="20"/>
              </w:rPr>
              <w:t>you have</w:t>
            </w:r>
            <w:r w:rsidRPr="004815F3">
              <w:rPr>
                <w:rFonts w:ascii="FoundrySterling-MediumOSF" w:hAnsi="FoundrySterling-MediumOSF"/>
                <w:sz w:val="20"/>
                <w:szCs w:val="20"/>
              </w:rPr>
              <w:t xml:space="preserve"> reimburse</w:t>
            </w:r>
            <w:r w:rsidR="001A414B">
              <w:rPr>
                <w:rFonts w:ascii="FoundrySterling-MediumOSF" w:hAnsi="FoundrySterling-MediumOSF"/>
                <w:sz w:val="20"/>
                <w:szCs w:val="20"/>
              </w:rPr>
              <w:t>d</w:t>
            </w:r>
            <w:r w:rsidRPr="004815F3">
              <w:rPr>
                <w:rFonts w:ascii="FoundrySterling-MediumOSF" w:hAnsi="FoundrySterling-MediumOSF"/>
                <w:sz w:val="20"/>
                <w:szCs w:val="20"/>
              </w:rPr>
              <w:t xml:space="preserve"> additional childcare costs</w:t>
            </w:r>
            <w:r w:rsidR="001A414B">
              <w:rPr>
                <w:rFonts w:ascii="FoundrySterling-MediumOSF" w:hAnsi="FoundrySterling-MediumOSF"/>
                <w:sz w:val="20"/>
                <w:szCs w:val="20"/>
              </w:rPr>
              <w:t xml:space="preserve"> either directly or indirectly</w:t>
            </w:r>
            <w:r w:rsidRPr="004815F3">
              <w:rPr>
                <w:rFonts w:ascii="FoundrySterling-MediumOSF" w:hAnsi="FoundrySterling-MediumOSF"/>
                <w:sz w:val="20"/>
                <w:szCs w:val="20"/>
              </w:rPr>
              <w:t xml:space="preserve"> (</w:t>
            </w:r>
            <w:r w:rsidR="001A414B">
              <w:rPr>
                <w:rFonts w:ascii="FoundrySterling-MediumOSF" w:hAnsi="FoundrySterling-MediumOSF"/>
                <w:sz w:val="20"/>
                <w:szCs w:val="20"/>
              </w:rPr>
              <w:t xml:space="preserve">for instance, </w:t>
            </w:r>
            <w:r w:rsidRPr="004815F3">
              <w:rPr>
                <w:rFonts w:ascii="FoundrySterling-MediumOSF" w:hAnsi="FoundrySterling-MediumOSF"/>
                <w:sz w:val="20"/>
                <w:szCs w:val="20"/>
              </w:rPr>
              <w:t>when the employee has worked overtime or attended meetings etc.)</w:t>
            </w:r>
            <w:r w:rsidRPr="004815F3">
              <w:rPr>
                <w:rFonts w:ascii="FoundrySterling-MediumOSF" w:hAnsi="FoundrySterling-MediumOSF"/>
                <w:sz w:val="20"/>
                <w:szCs w:val="20"/>
              </w:rPr>
              <w:br/>
            </w:r>
            <w:r w:rsidRPr="004815F3">
              <w:rPr>
                <w:rFonts w:ascii="FoundrySterling-MediumOSF" w:hAnsi="FoundrySterling-MediumOSF"/>
                <w:sz w:val="20"/>
                <w:szCs w:val="20"/>
              </w:rPr>
              <w:br/>
              <w:t xml:space="preserve">- </w:t>
            </w:r>
            <w:r w:rsidRPr="004815F3">
              <w:rPr>
                <w:rFonts w:ascii="FoundrySterling-MediumOSF" w:hAnsi="FoundrySterling-MediumOSF"/>
                <w:b/>
                <w:bCs/>
                <w:sz w:val="20"/>
                <w:szCs w:val="20"/>
              </w:rPr>
              <w:t>Gift</w:t>
            </w:r>
            <w:r w:rsidR="00B3318D">
              <w:rPr>
                <w:rFonts w:ascii="FoundrySterling-MediumOSF" w:hAnsi="FoundrySterling-MediumOSF"/>
                <w:b/>
                <w:bCs/>
                <w:sz w:val="20"/>
                <w:szCs w:val="20"/>
              </w:rPr>
              <w:t>s</w:t>
            </w:r>
            <w:r w:rsidRPr="004815F3">
              <w:rPr>
                <w:rFonts w:ascii="FoundrySterling-MediumOSF" w:hAnsi="FoundrySterling-MediumOSF"/>
                <w:sz w:val="20"/>
                <w:szCs w:val="20"/>
              </w:rPr>
              <w:t xml:space="preserve"> such as Christmas boxes</w:t>
            </w:r>
            <w:r w:rsidR="008C74FD">
              <w:rPr>
                <w:rFonts w:ascii="FoundrySterling-MediumOSF" w:hAnsi="FoundrySterling-MediumOSF"/>
                <w:sz w:val="20"/>
                <w:szCs w:val="20"/>
              </w:rPr>
              <w:t>, “thank you” gifts, etc. e.g. bottle of champagne, h</w:t>
            </w:r>
            <w:r w:rsidRPr="004815F3">
              <w:rPr>
                <w:rFonts w:ascii="FoundrySterling-MediumOSF" w:hAnsi="FoundrySterling-MediumOSF"/>
                <w:sz w:val="20"/>
                <w:szCs w:val="20"/>
              </w:rPr>
              <w:t xml:space="preserve">ampers. Gifts of this nature that </w:t>
            </w:r>
            <w:r w:rsidRPr="004815F3">
              <w:rPr>
                <w:rFonts w:ascii="FoundrySterling-MediumOSF" w:hAnsi="FoundrySterling-MediumOSF"/>
                <w:b/>
                <w:bCs/>
                <w:sz w:val="20"/>
                <w:szCs w:val="20"/>
              </w:rPr>
              <w:t>exceed £50</w:t>
            </w:r>
            <w:r w:rsidRPr="004815F3">
              <w:rPr>
                <w:rFonts w:ascii="FoundrySterling-MediumOSF" w:hAnsi="FoundrySterling-MediumOSF"/>
                <w:sz w:val="20"/>
                <w:szCs w:val="20"/>
              </w:rPr>
              <w:t xml:space="preserve"> should be reported on the P11D return, as there will be a tax liability. </w:t>
            </w:r>
            <w:r w:rsidR="001A414B">
              <w:rPr>
                <w:rFonts w:ascii="FoundrySterling-MediumOSF" w:hAnsi="FoundrySterling-MediumOSF"/>
                <w:sz w:val="20"/>
                <w:szCs w:val="20"/>
              </w:rPr>
              <w:t>Gifts</w:t>
            </w:r>
            <w:r w:rsidRPr="004815F3">
              <w:rPr>
                <w:rFonts w:ascii="FoundrySterling-MediumOSF" w:hAnsi="FoundrySterling-MediumOSF"/>
                <w:sz w:val="20"/>
                <w:szCs w:val="20"/>
              </w:rPr>
              <w:t xml:space="preserve"> given to an employee for special occasions such a birthdays or marriage do not need to be reported. – </w:t>
            </w:r>
            <w:r w:rsidR="00FC2B1C">
              <w:rPr>
                <w:rFonts w:ascii="FoundrySterling-MediumOSF" w:hAnsi="FoundrySterling-MediumOSF"/>
                <w:sz w:val="20"/>
                <w:szCs w:val="20"/>
              </w:rPr>
              <w:t>We recommend you</w:t>
            </w:r>
            <w:r w:rsidRPr="004815F3">
              <w:rPr>
                <w:rFonts w:ascii="FoundrySterling-MediumOSF" w:hAnsi="FoundrySterling-MediumOSF"/>
                <w:sz w:val="20"/>
                <w:szCs w:val="20"/>
              </w:rPr>
              <w:t xml:space="preserve"> refer to the Expenses Guide, at</w:t>
            </w:r>
            <w:r w:rsidR="00AD03F3">
              <w:rPr>
                <w:rFonts w:ascii="FoundrySterling-MediumOSF" w:hAnsi="FoundrySterling-MediumOSF"/>
                <w:sz w:val="20"/>
                <w:szCs w:val="20"/>
              </w:rPr>
              <w:t xml:space="preserve"> </w:t>
            </w:r>
            <w:hyperlink r:id="rId24" w:anchor="collapse1037556" w:history="1">
              <w:r w:rsidR="00AD03F3" w:rsidRPr="00D83C84">
                <w:rPr>
                  <w:rStyle w:val="Hyperlink"/>
                  <w:rFonts w:ascii="FoundrySterling-MediumOSF" w:hAnsi="FoundrySterling-MediumOSF"/>
                  <w:sz w:val="20"/>
                  <w:szCs w:val="20"/>
                </w:rPr>
                <w:t>https://finance.admin.ox.ac.uk/miscellaneous-expenses-departmental-guidance#collapse1037556</w:t>
              </w:r>
            </w:hyperlink>
            <w:r w:rsidR="00AD03F3">
              <w:rPr>
                <w:rFonts w:ascii="FoundrySterling-MediumOSF" w:hAnsi="FoundrySterling-MediumOSF"/>
                <w:sz w:val="20"/>
                <w:szCs w:val="20"/>
              </w:rPr>
              <w:t xml:space="preserve"> </w:t>
            </w:r>
            <w:r w:rsidR="00FC2B1C" w:rsidRPr="00FC2B1C">
              <w:rPr>
                <w:rFonts w:ascii="FoundrySterling-MediumOSF" w:hAnsi="FoundrySterling-MediumOSF"/>
                <w:sz w:val="20"/>
                <w:szCs w:val="20"/>
              </w:rPr>
              <w:t>while considering this point</w:t>
            </w:r>
            <w:r w:rsidR="00FC2B1C" w:rsidRPr="00FC2B1C">
              <w:t>.</w:t>
            </w:r>
          </w:p>
          <w:p w:rsidR="00852A04" w:rsidRPr="004815F3" w:rsidRDefault="00F97494" w:rsidP="00C5161A">
            <w:pPr>
              <w:spacing w:after="120"/>
              <w:rPr>
                <w:rFonts w:ascii="FoundrySterling-MediumOSF" w:hAnsi="FoundrySterling-MediumOSF"/>
                <w:i/>
                <w:iCs/>
                <w:sz w:val="20"/>
                <w:szCs w:val="20"/>
              </w:rPr>
            </w:pPr>
            <w:hyperlink r:id="rId25" w:history="1">
              <w:r w:rsidR="00852A04" w:rsidRPr="0009394A">
                <w:rPr>
                  <w:rStyle w:val="Hyperlink"/>
                  <w:rFonts w:ascii="FoundrySterling-MediumOSF" w:hAnsi="FoundrySterling-MediumOSF"/>
                  <w:sz w:val="20"/>
                  <w:szCs w:val="20"/>
                </w:rPr>
                <w:t>-</w:t>
              </w:r>
              <w:r w:rsidR="00852A04" w:rsidRPr="0009394A">
                <w:rPr>
                  <w:rStyle w:val="Hyperlink"/>
                  <w:rFonts w:ascii="FoundrySterling-MediumOSF" w:hAnsi="FoundrySterling-MediumOSF"/>
                  <w:b/>
                  <w:sz w:val="20"/>
                  <w:szCs w:val="20"/>
                </w:rPr>
                <w:t>Retirement gifts</w:t>
              </w:r>
            </w:hyperlink>
            <w:r w:rsidR="00852A04">
              <w:rPr>
                <w:rFonts w:ascii="FoundrySterling-MediumOSF" w:hAnsi="FoundrySterling-MediumOSF"/>
                <w:sz w:val="20"/>
                <w:szCs w:val="20"/>
              </w:rPr>
              <w:t xml:space="preserve"> where the length of service is less than 20 years and the contribution from the department is greater than £50</w:t>
            </w:r>
            <w:r w:rsidR="00056BF7">
              <w:rPr>
                <w:rFonts w:ascii="FoundrySterling-MediumOSF" w:hAnsi="FoundrySterling-MediumOSF"/>
                <w:sz w:val="20"/>
                <w:szCs w:val="20"/>
              </w:rPr>
              <w:t>, it</w:t>
            </w:r>
            <w:r w:rsidR="00852A04">
              <w:rPr>
                <w:rFonts w:ascii="FoundrySterling-MediumOSF" w:hAnsi="FoundrySterling-MediumOSF"/>
                <w:sz w:val="20"/>
                <w:szCs w:val="20"/>
              </w:rPr>
              <w:t xml:space="preserve"> should be reported on the P11D return. Personal donations from colleagues should be deducted from the total cost of the gift to calculate the value of the benefit. – For further information please refer to the Expenses </w:t>
            </w:r>
            <w:r w:rsidR="00056BF7">
              <w:rPr>
                <w:rFonts w:ascii="FoundrySterling-MediumOSF" w:hAnsi="FoundrySterling-MediumOSF"/>
                <w:sz w:val="20"/>
                <w:szCs w:val="20"/>
              </w:rPr>
              <w:t>Guide,</w:t>
            </w:r>
            <w:r w:rsidR="00852A04">
              <w:rPr>
                <w:rFonts w:ascii="FoundrySterling-MediumOSF" w:hAnsi="FoundrySterling-MediumOSF"/>
                <w:sz w:val="20"/>
                <w:szCs w:val="20"/>
              </w:rPr>
              <w:t xml:space="preserve"> at </w:t>
            </w:r>
            <w:hyperlink r:id="rId26" w:history="1">
              <w:r w:rsidR="00056BF7" w:rsidRPr="00056BF7">
                <w:rPr>
                  <w:rStyle w:val="Hyperlink"/>
                  <w:rFonts w:ascii="FoundrySterling-Book" w:hAnsi="FoundrySterling-Book"/>
                  <w:sz w:val="20"/>
                  <w:szCs w:val="20"/>
                </w:rPr>
                <w:t>https://finance.admin.ox.ac.uk/miscellaneous-expenses-departmental-guidance</w:t>
              </w:r>
            </w:hyperlink>
            <w:r w:rsidR="00056BF7">
              <w:t xml:space="preserve"> </w:t>
            </w:r>
            <w:r w:rsidR="00852A04">
              <w:rPr>
                <w:rFonts w:ascii="FoundrySterling-MediumOSF" w:hAnsi="FoundrySterling-MediumOSF"/>
                <w:sz w:val="20"/>
                <w:szCs w:val="20"/>
              </w:rPr>
              <w:br/>
            </w:r>
            <w:r w:rsidR="00852A04" w:rsidRPr="004815F3">
              <w:rPr>
                <w:rFonts w:ascii="FoundrySterling-MediumOSF" w:hAnsi="FoundrySterling-MediumOSF"/>
                <w:sz w:val="20"/>
                <w:szCs w:val="20"/>
              </w:rPr>
              <w:br/>
              <w:t xml:space="preserve">- </w:t>
            </w:r>
            <w:r w:rsidR="00852A04" w:rsidRPr="004815F3">
              <w:rPr>
                <w:rFonts w:ascii="FoundrySterling-MediumOSF" w:hAnsi="FoundrySterling-MediumOSF"/>
                <w:b/>
                <w:bCs/>
                <w:sz w:val="20"/>
                <w:szCs w:val="20"/>
              </w:rPr>
              <w:t>Meals</w:t>
            </w:r>
            <w:r w:rsidR="00852A04" w:rsidRPr="004815F3">
              <w:rPr>
                <w:rFonts w:ascii="FoundrySterling-MediumOSF" w:hAnsi="FoundrySterling-MediumOSF"/>
                <w:sz w:val="20"/>
                <w:szCs w:val="20"/>
              </w:rPr>
              <w:t xml:space="preserve"> provided by the department to individuals where usually meals are not free</w:t>
            </w:r>
            <w:r w:rsidR="008C74FD">
              <w:rPr>
                <w:rFonts w:ascii="FoundrySterling-MediumOSF" w:hAnsi="FoundrySterling-MediumOSF"/>
                <w:sz w:val="20"/>
                <w:szCs w:val="20"/>
              </w:rPr>
              <w:t xml:space="preserve"> or subsidised</w:t>
            </w:r>
            <w:r w:rsidR="00852A04" w:rsidRPr="004815F3">
              <w:rPr>
                <w:rFonts w:ascii="FoundrySterling-MediumOSF" w:hAnsi="FoundrySterling-MediumOSF"/>
                <w:sz w:val="20"/>
                <w:szCs w:val="20"/>
              </w:rPr>
              <w:t xml:space="preserve"> to all departmental staff. </w:t>
            </w:r>
            <w:r w:rsidR="002174FD">
              <w:rPr>
                <w:rFonts w:ascii="FoundrySterling-MediumOSF" w:hAnsi="FoundrySterling-MediumOSF"/>
                <w:sz w:val="20"/>
                <w:szCs w:val="20"/>
              </w:rPr>
              <w:t xml:space="preserve">See </w:t>
            </w:r>
            <w:hyperlink r:id="rId27" w:history="1">
              <w:r w:rsidR="00056BF7" w:rsidRPr="00056BF7">
                <w:rPr>
                  <w:rStyle w:val="Hyperlink"/>
                  <w:rFonts w:ascii="FoundrySterling-Book" w:hAnsi="FoundrySterling-Book"/>
                  <w:sz w:val="20"/>
                  <w:szCs w:val="20"/>
                </w:rPr>
                <w:t>https://finance.admin.ox.ac.uk/hospitality-and-entertaining-expenses-departmental-guidance</w:t>
              </w:r>
            </w:hyperlink>
            <w:r w:rsidR="00056BF7">
              <w:t xml:space="preserve"> </w:t>
            </w:r>
            <w:r w:rsidR="00852A04" w:rsidRPr="004815F3">
              <w:rPr>
                <w:rFonts w:ascii="FoundrySterling-MediumOSF" w:hAnsi="FoundrySterling-MediumOSF"/>
                <w:sz w:val="20"/>
                <w:szCs w:val="20"/>
              </w:rPr>
              <w:br/>
            </w:r>
            <w:r w:rsidR="00852A04" w:rsidRPr="004815F3">
              <w:rPr>
                <w:rFonts w:ascii="FoundrySterling-MediumOSF" w:hAnsi="FoundrySterling-MediumOSF"/>
                <w:sz w:val="20"/>
                <w:szCs w:val="20"/>
              </w:rPr>
              <w:br/>
              <w:t xml:space="preserve">- </w:t>
            </w:r>
            <w:r w:rsidR="00852A04" w:rsidRPr="004815F3">
              <w:rPr>
                <w:rFonts w:ascii="FoundrySterling-MediumOSF" w:hAnsi="FoundrySterling-MediumOSF"/>
                <w:b/>
                <w:bCs/>
                <w:sz w:val="20"/>
                <w:szCs w:val="20"/>
              </w:rPr>
              <w:t xml:space="preserve">Medical, dental treatment or </w:t>
            </w:r>
            <w:r w:rsidR="00552DF0">
              <w:rPr>
                <w:rFonts w:ascii="FoundrySterling-MediumOSF" w:hAnsi="FoundrySterling-MediumOSF"/>
                <w:b/>
                <w:bCs/>
                <w:sz w:val="20"/>
                <w:szCs w:val="20"/>
              </w:rPr>
              <w:t xml:space="preserve">health </w:t>
            </w:r>
            <w:r w:rsidR="00852A04" w:rsidRPr="004815F3">
              <w:rPr>
                <w:rFonts w:ascii="FoundrySterling-MediumOSF" w:hAnsi="FoundrySterling-MediumOSF"/>
                <w:b/>
                <w:bCs/>
                <w:sz w:val="20"/>
                <w:szCs w:val="20"/>
              </w:rPr>
              <w:t>insurance</w:t>
            </w:r>
            <w:r w:rsidR="00852A04" w:rsidRPr="004815F3">
              <w:rPr>
                <w:rFonts w:ascii="FoundrySterling-MediumOSF" w:hAnsi="FoundrySterling-MediumOSF"/>
                <w:sz w:val="20"/>
                <w:szCs w:val="20"/>
              </w:rPr>
              <w:t xml:space="preserve"> e.g. BUPA. Reimbursement of the costs of eye examinations for </w:t>
            </w:r>
            <w:r w:rsidR="008C74FD">
              <w:rPr>
                <w:rFonts w:ascii="FoundrySterling-MediumOSF" w:hAnsi="FoundrySterling-MediumOSF"/>
                <w:sz w:val="20"/>
                <w:szCs w:val="20"/>
              </w:rPr>
              <w:t>display screen equipment (</w:t>
            </w:r>
            <w:r w:rsidR="00852A04" w:rsidRPr="004815F3">
              <w:rPr>
                <w:rFonts w:ascii="FoundrySterling-MediumOSF" w:hAnsi="FoundrySterling-MediumOSF"/>
                <w:sz w:val="20"/>
                <w:szCs w:val="20"/>
              </w:rPr>
              <w:t>DSE</w:t>
            </w:r>
            <w:r w:rsidR="008C74FD">
              <w:rPr>
                <w:rFonts w:ascii="FoundrySterling-MediumOSF" w:hAnsi="FoundrySterling-MediumOSF"/>
                <w:sz w:val="20"/>
                <w:szCs w:val="20"/>
              </w:rPr>
              <w:t>)</w:t>
            </w:r>
            <w:r w:rsidR="00852A04" w:rsidRPr="004815F3">
              <w:rPr>
                <w:rFonts w:ascii="FoundrySterling-MediumOSF" w:hAnsi="FoundrySterling-MediumOSF"/>
                <w:sz w:val="20"/>
                <w:szCs w:val="20"/>
              </w:rPr>
              <w:t xml:space="preserve"> users and any contributions towards spectacles prescribed solely for the use of DSE equipment</w:t>
            </w:r>
            <w:r w:rsidR="00852A04" w:rsidRPr="004815F3">
              <w:rPr>
                <w:rFonts w:ascii="FoundrySterling-MediumOSF" w:hAnsi="FoundrySterling-MediumOSF"/>
                <w:b/>
                <w:bCs/>
                <w:sz w:val="20"/>
                <w:szCs w:val="20"/>
              </w:rPr>
              <w:t xml:space="preserve"> does not</w:t>
            </w:r>
            <w:r w:rsidR="00852A04" w:rsidRPr="004815F3">
              <w:rPr>
                <w:rFonts w:ascii="FoundrySterling-MediumOSF" w:hAnsi="FoundrySterling-MediumOSF"/>
                <w:sz w:val="20"/>
                <w:szCs w:val="20"/>
              </w:rPr>
              <w:t xml:space="preserve"> need to be reported on the P11D return.</w:t>
            </w:r>
            <w:r w:rsidR="00852A04" w:rsidRPr="004815F3">
              <w:rPr>
                <w:rFonts w:ascii="FoundrySterling-MediumOSF" w:hAnsi="FoundrySterling-MediumOSF"/>
                <w:sz w:val="20"/>
                <w:szCs w:val="20"/>
              </w:rPr>
              <w:br/>
            </w:r>
            <w:r w:rsidR="00852A04" w:rsidRPr="004815F3">
              <w:rPr>
                <w:rFonts w:ascii="FoundrySterling-MediumOSF" w:hAnsi="FoundrySterling-MediumOSF"/>
                <w:sz w:val="20"/>
                <w:szCs w:val="20"/>
              </w:rPr>
              <w:br/>
              <w:t xml:space="preserve">- </w:t>
            </w:r>
            <w:r w:rsidR="00852A04" w:rsidRPr="004815F3">
              <w:rPr>
                <w:rFonts w:ascii="FoundrySterling-MediumOSF" w:hAnsi="FoundrySterling-MediumOSF"/>
                <w:b/>
                <w:bCs/>
                <w:sz w:val="20"/>
                <w:szCs w:val="20"/>
              </w:rPr>
              <w:t>Home to work mileage</w:t>
            </w:r>
            <w:r w:rsidR="008C74FD">
              <w:rPr>
                <w:rFonts w:ascii="FoundrySterling-MediumOSF" w:hAnsi="FoundrySterling-MediumOSF"/>
                <w:b/>
                <w:bCs/>
                <w:sz w:val="20"/>
                <w:szCs w:val="20"/>
              </w:rPr>
              <w:t xml:space="preserve"> (including out of hours journeys)</w:t>
            </w:r>
            <w:r w:rsidR="00852A04" w:rsidRPr="004815F3">
              <w:rPr>
                <w:rFonts w:ascii="FoundrySterling-MediumOSF" w:hAnsi="FoundrySterling-MediumOSF"/>
                <w:sz w:val="20"/>
                <w:szCs w:val="20"/>
              </w:rPr>
              <w:t xml:space="preserve">. Even if the grantor has agreed to cover these costs they are taxable and should be paid through the payroll. </w:t>
            </w:r>
            <w:r w:rsidR="00852A04" w:rsidRPr="004815F3">
              <w:rPr>
                <w:rFonts w:ascii="FoundrySterling-MediumOSF" w:hAnsi="FoundrySterling-MediumOSF"/>
                <w:i/>
                <w:iCs/>
                <w:sz w:val="20"/>
                <w:szCs w:val="20"/>
              </w:rPr>
              <w:t>Exclude any payments already made through Payroll.</w:t>
            </w:r>
          </w:p>
          <w:p w:rsidR="00852A04" w:rsidRPr="004815F3" w:rsidRDefault="00852A04" w:rsidP="00C5161A">
            <w:pPr>
              <w:spacing w:after="120"/>
              <w:rPr>
                <w:rFonts w:ascii="FoundrySterling-MediumOSF" w:hAnsi="FoundrySterling-MediumOSF"/>
                <w:sz w:val="20"/>
                <w:szCs w:val="20"/>
              </w:rPr>
            </w:pPr>
            <w:r w:rsidRPr="004815F3">
              <w:rPr>
                <w:rFonts w:ascii="FoundrySterling-MediumOSF" w:hAnsi="FoundrySterling-MediumOSF"/>
                <w:i/>
                <w:iCs/>
                <w:sz w:val="20"/>
                <w:szCs w:val="20"/>
              </w:rPr>
              <w:t>-</w:t>
            </w:r>
            <w:r w:rsidRPr="004815F3">
              <w:rPr>
                <w:rFonts w:ascii="FoundrySterling-MediumOSF" w:hAnsi="FoundrySterling-MediumOSF"/>
                <w:b/>
                <w:bCs/>
                <w:sz w:val="20"/>
                <w:szCs w:val="20"/>
              </w:rPr>
              <w:t xml:space="preserve">Vouchers </w:t>
            </w:r>
            <w:r w:rsidRPr="004815F3">
              <w:rPr>
                <w:rFonts w:ascii="FoundrySterling-MediumOSF" w:hAnsi="FoundrySterling-MediumOSF"/>
                <w:sz w:val="20"/>
                <w:szCs w:val="20"/>
              </w:rPr>
              <w:t>given in payment for service or services are liable for tax and Class 1</w:t>
            </w:r>
            <w:r w:rsidR="008C74FD">
              <w:rPr>
                <w:rFonts w:ascii="FoundrySterling-MediumOSF" w:hAnsi="FoundrySterling-MediumOSF"/>
                <w:sz w:val="20"/>
                <w:szCs w:val="20"/>
              </w:rPr>
              <w:t xml:space="preserve"> </w:t>
            </w:r>
            <w:r w:rsidRPr="004815F3">
              <w:rPr>
                <w:rFonts w:ascii="FoundrySterling-MediumOSF" w:hAnsi="FoundrySterling-MediumOSF"/>
                <w:sz w:val="20"/>
                <w:szCs w:val="20"/>
              </w:rPr>
              <w:t xml:space="preserve">NICs. Any vouchers given should be reported to the payroll office for the appropriate deductions to be taken at source. </w:t>
            </w:r>
          </w:p>
        </w:tc>
      </w:tr>
      <w:tr w:rsidR="00852A04" w:rsidRPr="004815F3" w:rsidTr="00C5161A">
        <w:trPr>
          <w:cantSplit/>
          <w:trHeight w:val="868"/>
        </w:trPr>
        <w:tc>
          <w:tcPr>
            <w:tcW w:w="12913" w:type="dxa"/>
            <w:gridSpan w:val="2"/>
            <w:vAlign w:val="center"/>
          </w:tcPr>
          <w:p w:rsidR="00852A04" w:rsidRPr="004815F3" w:rsidRDefault="00852A04" w:rsidP="00C5161A">
            <w:pPr>
              <w:pStyle w:val="ListParagraph"/>
              <w:numPr>
                <w:ilvl w:val="0"/>
                <w:numId w:val="40"/>
              </w:numPr>
              <w:spacing w:after="120"/>
              <w:rPr>
                <w:rFonts w:ascii="FoundrySterling-MediumOSF" w:hAnsi="FoundrySterling-MediumOSF"/>
                <w:i/>
                <w:iCs/>
                <w:sz w:val="20"/>
                <w:szCs w:val="20"/>
              </w:rPr>
            </w:pPr>
            <w:r w:rsidRPr="004815F3">
              <w:rPr>
                <w:rFonts w:ascii="FoundrySterling-MediumOSF" w:hAnsi="FoundrySterling-MediumOSF"/>
                <w:sz w:val="20"/>
                <w:szCs w:val="20"/>
              </w:rPr>
              <w:t xml:space="preserve">Has your department reimbursed or paid for any expenses of the type detailed </w:t>
            </w:r>
            <w:r w:rsidRPr="002174FD">
              <w:rPr>
                <w:rFonts w:ascii="FoundrySterling-MediumOSF" w:hAnsi="FoundrySterling-MediumOSF"/>
                <w:sz w:val="20"/>
                <w:szCs w:val="20"/>
                <w:u w:val="single"/>
              </w:rPr>
              <w:t>above that have not been processed through the payroll</w:t>
            </w:r>
            <w:r w:rsidRPr="004815F3">
              <w:rPr>
                <w:rFonts w:ascii="FoundrySterling-MediumOSF" w:hAnsi="FoundrySterling-MediumOSF"/>
                <w:sz w:val="20"/>
                <w:szCs w:val="20"/>
              </w:rPr>
              <w:t xml:space="preserve">? </w:t>
            </w:r>
            <w:r w:rsidRPr="004815F3">
              <w:rPr>
                <w:rFonts w:ascii="FoundrySterling-MediumOSF" w:hAnsi="FoundrySterling-MediumOSF"/>
                <w:i/>
                <w:iCs/>
                <w:sz w:val="20"/>
                <w:szCs w:val="20"/>
              </w:rPr>
              <w:t>Please delete as appropriate</w:t>
            </w:r>
          </w:p>
        </w:tc>
        <w:tc>
          <w:tcPr>
            <w:tcW w:w="1595" w:type="dxa"/>
            <w:vAlign w:val="center"/>
          </w:tcPr>
          <w:p w:rsidR="00852A04" w:rsidRPr="004815F3" w:rsidRDefault="00852A04" w:rsidP="00C5161A">
            <w:pPr>
              <w:spacing w:before="120" w:after="120"/>
              <w:rPr>
                <w:rFonts w:ascii="FoundrySterling-MediumOSF" w:hAnsi="FoundrySterling-MediumOSF"/>
                <w:b/>
                <w:bCs/>
                <w:sz w:val="20"/>
                <w:szCs w:val="20"/>
              </w:rPr>
            </w:pPr>
            <w:r w:rsidRPr="004815F3">
              <w:rPr>
                <w:rFonts w:ascii="FoundrySterling-MediumOSF" w:hAnsi="FoundrySterling-MediumOSF"/>
                <w:b/>
                <w:bCs/>
                <w:sz w:val="20"/>
                <w:szCs w:val="20"/>
              </w:rPr>
              <w:t>YES / NO</w:t>
            </w:r>
          </w:p>
        </w:tc>
      </w:tr>
      <w:tr w:rsidR="00852A04" w:rsidRPr="004815F3" w:rsidTr="00C5161A">
        <w:trPr>
          <w:cantSplit/>
          <w:trHeight w:val="535"/>
        </w:trPr>
        <w:tc>
          <w:tcPr>
            <w:tcW w:w="14508" w:type="dxa"/>
            <w:gridSpan w:val="3"/>
            <w:vAlign w:val="center"/>
          </w:tcPr>
          <w:p w:rsidR="00852A04" w:rsidRPr="004815F3" w:rsidRDefault="00852A04" w:rsidP="00C5161A">
            <w:pPr>
              <w:spacing w:after="120"/>
              <w:rPr>
                <w:rFonts w:ascii="FoundrySterling-MediumOSF" w:hAnsi="FoundrySterling-MediumOSF"/>
                <w:sz w:val="20"/>
                <w:szCs w:val="20"/>
              </w:rPr>
            </w:pPr>
            <w:r w:rsidRPr="004815F3">
              <w:rPr>
                <w:rFonts w:ascii="FoundrySterling-MediumOSF" w:hAnsi="FoundrySterling-MediumOSF"/>
                <w:sz w:val="20"/>
                <w:szCs w:val="20"/>
              </w:rPr>
              <w:t xml:space="preserve">If the answer to (a) above is ‘YES’ </w:t>
            </w:r>
            <w:r w:rsidR="00F762D4">
              <w:rPr>
                <w:rFonts w:ascii="FoundrySterling-MediumOSF" w:hAnsi="FoundrySterling-MediumOSF"/>
                <w:sz w:val="20"/>
                <w:szCs w:val="20"/>
              </w:rPr>
              <w:t>then please complete Appendix 11</w:t>
            </w:r>
            <w:r w:rsidRPr="004815F3">
              <w:rPr>
                <w:rFonts w:ascii="FoundrySterling-MediumOSF" w:hAnsi="FoundrySterling-MediumOSF"/>
                <w:sz w:val="20"/>
                <w:szCs w:val="20"/>
              </w:rPr>
              <w:t>, otherwise proc</w:t>
            </w:r>
            <w:r w:rsidR="00F762D4">
              <w:rPr>
                <w:rFonts w:ascii="FoundrySterling-MediumOSF" w:hAnsi="FoundrySterling-MediumOSF"/>
                <w:sz w:val="20"/>
                <w:szCs w:val="20"/>
              </w:rPr>
              <w:t>eed to section 12</w:t>
            </w:r>
            <w:r w:rsidRPr="004815F3">
              <w:rPr>
                <w:rFonts w:ascii="FoundrySterling-MediumOSF" w:hAnsi="FoundrySterling-MediumOSF"/>
                <w:sz w:val="20"/>
                <w:szCs w:val="20"/>
              </w:rPr>
              <w:t>.</w:t>
            </w:r>
          </w:p>
        </w:tc>
      </w:tr>
    </w:tbl>
    <w:p w:rsidR="00132AF2" w:rsidRPr="004815F3" w:rsidRDefault="00132AF2">
      <w:pPr>
        <w:spacing w:after="0"/>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p w:rsidR="00852A04" w:rsidRDefault="00852A04">
      <w:pPr>
        <w:spacing w:after="0"/>
        <w:rPr>
          <w:rFonts w:ascii="FoundrySterling-MediumOSF" w:hAnsi="FoundrySterling-MediumOSF"/>
          <w:sz w:val="20"/>
          <w:szCs w:val="20"/>
        </w:rPr>
      </w:pPr>
    </w:p>
    <w:p w:rsidR="00852A04" w:rsidRDefault="00852A04">
      <w:pPr>
        <w:spacing w:after="0"/>
        <w:rPr>
          <w:rFonts w:ascii="FoundrySterling-MediumOSF" w:hAnsi="FoundrySterling-MediumOSF"/>
          <w:sz w:val="20"/>
          <w:szCs w:val="20"/>
        </w:rPr>
      </w:pPr>
    </w:p>
    <w:p w:rsidR="00852A04" w:rsidRDefault="00852A04">
      <w:pPr>
        <w:spacing w:after="0"/>
        <w:rPr>
          <w:rFonts w:ascii="FoundrySterling-MediumOSF" w:hAnsi="FoundrySterling-MediumOSF"/>
          <w:sz w:val="20"/>
          <w:szCs w:val="20"/>
        </w:rPr>
      </w:pPr>
    </w:p>
    <w:p w:rsidR="00852A04" w:rsidRDefault="00852A04">
      <w:pPr>
        <w:spacing w:after="0"/>
        <w:rPr>
          <w:rFonts w:ascii="FoundrySterling-MediumOSF" w:hAnsi="FoundrySterling-MediumOSF"/>
          <w:sz w:val="20"/>
          <w:szCs w:val="20"/>
        </w:rPr>
      </w:pPr>
    </w:p>
    <w:p w:rsidR="00852A04" w:rsidRDefault="00852A04">
      <w:pPr>
        <w:spacing w:after="0"/>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p w:rsidR="00132AF2" w:rsidRPr="004815F3" w:rsidRDefault="00132AF2">
      <w:pPr>
        <w:spacing w:after="0"/>
        <w:rPr>
          <w:rFonts w:ascii="FoundrySterling-MediumOSF" w:hAnsi="FoundrySterling-MediumOSF"/>
          <w:sz w:val="20"/>
          <w:szCs w:val="20"/>
        </w:rPr>
      </w:pPr>
    </w:p>
    <w:p w:rsidR="001318D3" w:rsidRPr="004815F3" w:rsidRDefault="001318D3">
      <w:pPr>
        <w:spacing w:after="0"/>
        <w:rPr>
          <w:rFonts w:ascii="FoundrySterling-MediumOSF" w:hAnsi="FoundrySterling-MediumOSF"/>
          <w:sz w:val="20"/>
          <w:szCs w:val="20"/>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2535"/>
        <w:gridCol w:w="4253"/>
        <w:gridCol w:w="5244"/>
        <w:gridCol w:w="2001"/>
      </w:tblGrid>
      <w:tr w:rsidR="00132AF2" w:rsidRPr="004815F3" w:rsidTr="00482303">
        <w:trPr>
          <w:cantSplit/>
        </w:trPr>
        <w:tc>
          <w:tcPr>
            <w:tcW w:w="550" w:type="dxa"/>
            <w:shd w:val="clear" w:color="auto" w:fill="FFFF66"/>
          </w:tcPr>
          <w:p w:rsidR="00132AF2" w:rsidRPr="004815F3" w:rsidRDefault="00F762D4">
            <w:pPr>
              <w:spacing w:before="120" w:after="120"/>
              <w:jc w:val="both"/>
              <w:rPr>
                <w:rFonts w:ascii="FoundrySterling-MediumOSF" w:hAnsi="FoundrySterling-MediumOSF"/>
                <w:sz w:val="20"/>
                <w:szCs w:val="20"/>
              </w:rPr>
            </w:pPr>
            <w:r>
              <w:rPr>
                <w:rFonts w:ascii="FoundrySterling-MediumOSF" w:hAnsi="FoundrySterling-MediumOSF"/>
                <w:b/>
                <w:bCs/>
                <w:sz w:val="20"/>
                <w:szCs w:val="20"/>
              </w:rPr>
              <w:t>12</w:t>
            </w:r>
            <w:r w:rsidR="00132AF2" w:rsidRPr="004815F3">
              <w:rPr>
                <w:rFonts w:ascii="FoundrySterling-MediumOSF" w:hAnsi="FoundrySterling-MediumOSF"/>
                <w:b/>
                <w:bCs/>
                <w:sz w:val="20"/>
                <w:szCs w:val="20"/>
              </w:rPr>
              <w:t xml:space="preserve">. </w:t>
            </w:r>
          </w:p>
        </w:tc>
        <w:tc>
          <w:tcPr>
            <w:tcW w:w="14033" w:type="dxa"/>
            <w:gridSpan w:val="4"/>
            <w:shd w:val="clear" w:color="auto" w:fill="FFFF66"/>
          </w:tcPr>
          <w:p w:rsidR="00132AF2" w:rsidRPr="004815F3" w:rsidRDefault="00132AF2" w:rsidP="00DF5EC8">
            <w:pPr>
              <w:spacing w:before="120" w:after="120"/>
              <w:jc w:val="both"/>
              <w:rPr>
                <w:rFonts w:ascii="FoundrySterling-MediumOSF" w:hAnsi="FoundrySterling-MediumOSF"/>
                <w:sz w:val="20"/>
                <w:szCs w:val="20"/>
              </w:rPr>
            </w:pPr>
            <w:r w:rsidRPr="004815F3">
              <w:rPr>
                <w:rFonts w:ascii="FoundrySterling-MediumOSF" w:hAnsi="FoundrySterling-MediumOSF"/>
                <w:b/>
                <w:bCs/>
                <w:sz w:val="20"/>
                <w:szCs w:val="20"/>
              </w:rPr>
              <w:t>Declaration</w:t>
            </w:r>
            <w:r w:rsidR="00DF5EC8" w:rsidRPr="004815F3">
              <w:rPr>
                <w:rFonts w:ascii="FoundrySterling-MediumOSF" w:hAnsi="FoundrySterling-MediumOSF"/>
                <w:b/>
                <w:bCs/>
                <w:sz w:val="20"/>
                <w:szCs w:val="20"/>
              </w:rPr>
              <w:t xml:space="preserve"> - </w:t>
            </w:r>
            <w:r w:rsidR="00DF5EC8" w:rsidRPr="004815F3">
              <w:rPr>
                <w:rFonts w:ascii="FoundrySterling-MediumOSF" w:hAnsi="FoundrySterling-MediumOSF"/>
                <w:sz w:val="20"/>
                <w:szCs w:val="20"/>
              </w:rPr>
              <w:t xml:space="preserve">A signed declaration </w:t>
            </w:r>
            <w:r w:rsidR="00D02D02">
              <w:rPr>
                <w:rFonts w:ascii="FoundrySterling-MediumOSF" w:hAnsi="FoundrySterling-MediumOSF"/>
                <w:sz w:val="20"/>
                <w:szCs w:val="20"/>
              </w:rPr>
              <w:t xml:space="preserve">or email confirmation </w:t>
            </w:r>
            <w:r w:rsidR="00DF5EC8" w:rsidRPr="004815F3">
              <w:rPr>
                <w:rFonts w:ascii="FoundrySterling-MediumOSF" w:hAnsi="FoundrySterling-MediumOSF"/>
                <w:sz w:val="20"/>
                <w:szCs w:val="20"/>
              </w:rPr>
              <w:t>is still required if you have no items to declare.</w:t>
            </w:r>
          </w:p>
        </w:tc>
      </w:tr>
      <w:tr w:rsidR="00132AF2" w:rsidRPr="004815F3" w:rsidTr="00180629">
        <w:trPr>
          <w:cantSplit/>
          <w:trHeight w:val="454"/>
        </w:trPr>
        <w:tc>
          <w:tcPr>
            <w:tcW w:w="14583" w:type="dxa"/>
            <w:gridSpan w:val="5"/>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Please complete the following declaration in respect of this return:</w:t>
            </w:r>
          </w:p>
        </w:tc>
      </w:tr>
      <w:tr w:rsidR="00132AF2" w:rsidRPr="004815F3">
        <w:trPr>
          <w:cantSplit/>
          <w:trHeight w:val="2308"/>
        </w:trPr>
        <w:tc>
          <w:tcPr>
            <w:tcW w:w="14583" w:type="dxa"/>
            <w:gridSpan w:val="5"/>
            <w:vAlign w:val="center"/>
          </w:tcPr>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br/>
              <w:t>I confirm that there are no payments which have been made to or on behalf of individuals within the department or unit named on the cover of this return for th</w:t>
            </w:r>
            <w:r w:rsidR="007D1A28">
              <w:rPr>
                <w:rFonts w:ascii="FoundrySterling-MediumOSF" w:hAnsi="FoundrySterling-MediumOSF"/>
                <w:sz w:val="20"/>
                <w:szCs w:val="20"/>
              </w:rPr>
              <w:t xml:space="preserve">e tax year ending </w:t>
            </w:r>
            <w:r w:rsidR="009174F8">
              <w:rPr>
                <w:rFonts w:ascii="FoundrySterling-MediumOSF" w:hAnsi="FoundrySterling-MediumOSF"/>
                <w:sz w:val="20"/>
                <w:szCs w:val="20"/>
              </w:rPr>
              <w:t>5</w:t>
            </w:r>
            <w:r w:rsidR="009174F8" w:rsidRPr="009174F8">
              <w:rPr>
                <w:rFonts w:ascii="FoundrySterling-MediumOSF" w:hAnsi="FoundrySterling-MediumOSF"/>
                <w:sz w:val="20"/>
                <w:szCs w:val="20"/>
                <w:vertAlign w:val="superscript"/>
              </w:rPr>
              <w:t>th</w:t>
            </w:r>
            <w:r w:rsidR="009174F8">
              <w:rPr>
                <w:rFonts w:ascii="FoundrySterling-MediumOSF" w:hAnsi="FoundrySterling-MediumOSF"/>
                <w:sz w:val="20"/>
                <w:szCs w:val="20"/>
              </w:rPr>
              <w:t xml:space="preserve"> </w:t>
            </w:r>
            <w:r w:rsidR="00615611">
              <w:rPr>
                <w:rFonts w:ascii="FoundrySterling-MediumOSF" w:hAnsi="FoundrySterling-MediumOSF"/>
                <w:sz w:val="20"/>
                <w:szCs w:val="20"/>
              </w:rPr>
              <w:t>April 2021</w:t>
            </w:r>
            <w:r w:rsidRPr="004815F3">
              <w:rPr>
                <w:rFonts w:ascii="FoundrySterling-MediumOSF" w:hAnsi="FoundrySterling-MediumOSF"/>
                <w:sz w:val="20"/>
                <w:szCs w:val="20"/>
              </w:rPr>
              <w:t xml:space="preserve"> which: </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have not been paid for through the University payroll; or</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xml:space="preserve">- </w:t>
            </w:r>
            <w:r w:rsidRPr="001A414B">
              <w:rPr>
                <w:rFonts w:ascii="FoundrySterling-MediumOSF" w:hAnsi="FoundrySterling-MediumOSF"/>
                <w:sz w:val="20"/>
                <w:szCs w:val="20"/>
              </w:rPr>
              <w:t xml:space="preserve">are </w:t>
            </w:r>
            <w:r w:rsidR="00DB1E1D" w:rsidRPr="001A414B">
              <w:rPr>
                <w:rFonts w:ascii="FoundrySterling-MediumOSF" w:hAnsi="FoundrySterling-MediumOSF"/>
                <w:sz w:val="20"/>
                <w:szCs w:val="20"/>
              </w:rPr>
              <w:t xml:space="preserve">not </w:t>
            </w:r>
            <w:r w:rsidR="002174FD" w:rsidRPr="001A414B">
              <w:rPr>
                <w:rFonts w:ascii="FoundrySterling-MediumOSF" w:hAnsi="FoundrySterling-MediumOSF"/>
                <w:sz w:val="20"/>
                <w:szCs w:val="20"/>
              </w:rPr>
              <w:t>covered</w:t>
            </w:r>
            <w:r w:rsidR="002174FD">
              <w:rPr>
                <w:rFonts w:ascii="FoundrySterling-MediumOSF" w:hAnsi="FoundrySterling-MediumOSF"/>
                <w:sz w:val="20"/>
                <w:szCs w:val="20"/>
              </w:rPr>
              <w:t xml:space="preserve"> by the P11D exemptions</w:t>
            </w:r>
            <w:r w:rsidRPr="004815F3">
              <w:rPr>
                <w:rFonts w:ascii="FoundrySterling-MediumOSF" w:hAnsi="FoundrySterling-MediumOSF"/>
                <w:sz w:val="20"/>
                <w:szCs w:val="20"/>
              </w:rPr>
              <w:t xml:space="preserve"> as set out in the University’s </w:t>
            </w:r>
            <w:r w:rsidR="00103BFA" w:rsidRPr="004815F3">
              <w:rPr>
                <w:rFonts w:ascii="FoundrySterling-MediumOSF" w:hAnsi="FoundrySterling-MediumOSF"/>
                <w:sz w:val="20"/>
                <w:szCs w:val="20"/>
              </w:rPr>
              <w:t>Expenses Guide</w:t>
            </w:r>
            <w:r w:rsidRPr="004815F3">
              <w:rPr>
                <w:rFonts w:ascii="FoundrySterling-MediumOSF" w:hAnsi="FoundrySterling-MediumOSF"/>
                <w:sz w:val="20"/>
                <w:szCs w:val="20"/>
              </w:rPr>
              <w:t>; or</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 are otherwise notified on this return.</w:t>
            </w:r>
          </w:p>
          <w:p w:rsidR="00132AF2" w:rsidRPr="004815F3"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I am including the following appendices with this return. (Please tick each box for which a completed appendix sheet is being returned).</w:t>
            </w:r>
          </w:p>
          <w:p w:rsidR="00132AF2" w:rsidRPr="004815F3" w:rsidRDefault="00132AF2">
            <w:pPr>
              <w:tabs>
                <w:tab w:val="clear" w:pos="5760"/>
                <w:tab w:val="left" w:pos="3767"/>
              </w:tabs>
              <w:spacing w:after="120"/>
              <w:rPr>
                <w:rFonts w:ascii="FoundrySterling-MediumOSF" w:hAnsi="FoundrySterling-MediumOSF"/>
                <w:sz w:val="20"/>
                <w:szCs w:val="20"/>
              </w:rPr>
            </w:pPr>
            <w:r w:rsidRPr="004815F3">
              <w:rPr>
                <w:rFonts w:ascii="FoundrySterling-MediumOSF" w:hAnsi="FoundrySterling-MediumOSF"/>
                <w:sz w:val="20"/>
                <w:szCs w:val="20"/>
              </w:rPr>
              <w:t xml:space="preserve">Appendix 1  </w:t>
            </w:r>
            <w:r w:rsidRPr="004815F3">
              <w:rPr>
                <w:rStyle w:val="TickBox"/>
                <w:rFonts w:ascii="FoundrySterling-MediumOSF" w:hAnsi="FoundrySterling-MediumOSF"/>
                <w:sz w:val="20"/>
                <w:szCs w:val="20"/>
              </w:rPr>
              <w:sym w:font="Wingdings 2" w:char="F0A3"/>
            </w:r>
            <w:r w:rsidRPr="004815F3">
              <w:rPr>
                <w:rStyle w:val="TickBox"/>
                <w:rFonts w:ascii="FoundrySterling-MediumOSF" w:hAnsi="FoundrySterling-MediumOSF"/>
                <w:sz w:val="20"/>
                <w:szCs w:val="20"/>
              </w:rPr>
              <w:t xml:space="preserve">                            Appendix 4  </w:t>
            </w:r>
            <w:r w:rsidRPr="004815F3">
              <w:rPr>
                <w:rStyle w:val="TickBox"/>
                <w:rFonts w:ascii="FoundrySterling-MediumOSF" w:hAnsi="FoundrySterling-MediumOSF"/>
                <w:sz w:val="20"/>
                <w:szCs w:val="20"/>
              </w:rPr>
              <w:sym w:font="Wingdings 2" w:char="F0A3"/>
            </w:r>
            <w:r w:rsidRPr="004815F3">
              <w:rPr>
                <w:rStyle w:val="TickBox"/>
                <w:rFonts w:ascii="FoundrySterling-MediumOSF" w:hAnsi="FoundrySterling-MediumOSF"/>
                <w:sz w:val="20"/>
                <w:szCs w:val="20"/>
              </w:rPr>
              <w:t xml:space="preserve">                              Appendix 7  </w:t>
            </w:r>
            <w:r w:rsidRPr="004815F3">
              <w:rPr>
                <w:rStyle w:val="TickBox"/>
                <w:rFonts w:ascii="FoundrySterling-MediumOSF" w:hAnsi="FoundrySterling-MediumOSF"/>
                <w:sz w:val="20"/>
                <w:szCs w:val="20"/>
              </w:rPr>
              <w:sym w:font="Wingdings 2" w:char="F0A3"/>
            </w:r>
            <w:r w:rsidRPr="004815F3">
              <w:rPr>
                <w:rStyle w:val="TickBox"/>
                <w:rFonts w:ascii="FoundrySterling-MediumOSF" w:hAnsi="FoundrySterling-MediumOSF"/>
                <w:sz w:val="20"/>
                <w:szCs w:val="20"/>
              </w:rPr>
              <w:t xml:space="preserve">                              Appendix 10</w:t>
            </w:r>
            <w:r w:rsidRPr="004815F3">
              <w:rPr>
                <w:rFonts w:ascii="FoundrySterling-MediumOSF" w:hAnsi="FoundrySterling-MediumOSF"/>
                <w:sz w:val="20"/>
                <w:szCs w:val="20"/>
              </w:rPr>
              <w:t xml:space="preserve">  </w:t>
            </w:r>
            <w:r w:rsidRPr="004815F3">
              <w:rPr>
                <w:rStyle w:val="TickBox"/>
                <w:rFonts w:ascii="FoundrySterling-MediumOSF" w:hAnsi="FoundrySterling-MediumOSF"/>
                <w:sz w:val="20"/>
                <w:szCs w:val="20"/>
              </w:rPr>
              <w:sym w:font="Wingdings 2" w:char="F0A3"/>
            </w:r>
            <w:r w:rsidRPr="004815F3">
              <w:rPr>
                <w:rFonts w:ascii="FoundrySterling-MediumOSF" w:hAnsi="FoundrySterling-MediumOSF"/>
                <w:sz w:val="20"/>
                <w:szCs w:val="20"/>
              </w:rPr>
              <w:br/>
              <w:t>Appendix</w:t>
            </w:r>
            <w:r w:rsidRPr="004815F3">
              <w:rPr>
                <w:rStyle w:val="TickBox"/>
                <w:rFonts w:ascii="FoundrySterling-MediumOSF" w:hAnsi="FoundrySterling-MediumOSF"/>
                <w:sz w:val="20"/>
                <w:szCs w:val="20"/>
              </w:rPr>
              <w:t xml:space="preserve"> 2  </w:t>
            </w:r>
            <w:r w:rsidRPr="004815F3">
              <w:rPr>
                <w:rStyle w:val="TickBox"/>
                <w:rFonts w:ascii="FoundrySterling-MediumOSF" w:hAnsi="FoundrySterling-MediumOSF"/>
                <w:sz w:val="20"/>
                <w:szCs w:val="20"/>
              </w:rPr>
              <w:sym w:font="Wingdings 2" w:char="F0A3"/>
            </w:r>
            <w:r w:rsidRPr="004815F3">
              <w:rPr>
                <w:rStyle w:val="TickBox"/>
                <w:rFonts w:ascii="FoundrySterling-MediumOSF" w:hAnsi="FoundrySterling-MediumOSF"/>
                <w:sz w:val="20"/>
                <w:szCs w:val="20"/>
              </w:rPr>
              <w:t xml:space="preserve">                           </w:t>
            </w:r>
            <w:r w:rsidR="00826A58" w:rsidRPr="004815F3">
              <w:rPr>
                <w:rStyle w:val="TickBox"/>
                <w:rFonts w:ascii="FoundrySterling-MediumOSF" w:hAnsi="FoundrySterling-MediumOSF"/>
                <w:sz w:val="20"/>
                <w:szCs w:val="20"/>
              </w:rPr>
              <w:t xml:space="preserve"> </w:t>
            </w:r>
            <w:r w:rsidRPr="004815F3">
              <w:rPr>
                <w:rStyle w:val="TickBox"/>
                <w:rFonts w:ascii="FoundrySterling-MediumOSF" w:hAnsi="FoundrySterling-MediumOSF"/>
                <w:sz w:val="20"/>
                <w:szCs w:val="20"/>
              </w:rPr>
              <w:t xml:space="preserve">Appendix 5  </w:t>
            </w:r>
            <w:r w:rsidRPr="004815F3">
              <w:rPr>
                <w:rStyle w:val="TickBox"/>
                <w:rFonts w:ascii="FoundrySterling-MediumOSF" w:hAnsi="FoundrySterling-MediumOSF"/>
                <w:sz w:val="20"/>
                <w:szCs w:val="20"/>
              </w:rPr>
              <w:sym w:font="Wingdings 2" w:char="F0A3"/>
            </w:r>
            <w:r w:rsidRPr="004815F3">
              <w:rPr>
                <w:rStyle w:val="TickBox"/>
                <w:rFonts w:ascii="FoundrySterling-MediumOSF" w:hAnsi="FoundrySterling-MediumOSF"/>
                <w:sz w:val="20"/>
                <w:szCs w:val="20"/>
              </w:rPr>
              <w:t xml:space="preserve">                              Appendix 8  </w:t>
            </w:r>
            <w:r w:rsidRPr="004815F3">
              <w:rPr>
                <w:rStyle w:val="TickBox"/>
                <w:rFonts w:ascii="FoundrySterling-MediumOSF" w:hAnsi="FoundrySterling-MediumOSF"/>
                <w:sz w:val="20"/>
                <w:szCs w:val="20"/>
              </w:rPr>
              <w:sym w:font="Wingdings 2" w:char="F0A3"/>
            </w:r>
            <w:r w:rsidRPr="004815F3">
              <w:rPr>
                <w:rStyle w:val="TickBox"/>
                <w:rFonts w:ascii="FoundrySterling-MediumOSF" w:hAnsi="FoundrySterling-MediumOSF"/>
                <w:sz w:val="20"/>
                <w:szCs w:val="20"/>
              </w:rPr>
              <w:t xml:space="preserve">                             </w:t>
            </w:r>
            <w:r w:rsidR="00663E15">
              <w:rPr>
                <w:rStyle w:val="TickBox"/>
                <w:rFonts w:ascii="FoundrySterling-MediumOSF" w:hAnsi="FoundrySterling-MediumOSF"/>
                <w:sz w:val="20"/>
                <w:szCs w:val="20"/>
              </w:rPr>
              <w:t xml:space="preserve">Appendix 11 </w:t>
            </w:r>
            <w:r w:rsidRPr="004815F3">
              <w:rPr>
                <w:rStyle w:val="TickBox"/>
                <w:rFonts w:ascii="FoundrySterling-MediumOSF" w:hAnsi="FoundrySterling-MediumOSF"/>
                <w:sz w:val="20"/>
                <w:szCs w:val="20"/>
              </w:rPr>
              <w:t xml:space="preserve">   </w:t>
            </w:r>
            <w:r w:rsidRPr="004815F3">
              <w:rPr>
                <w:rStyle w:val="TickBox"/>
                <w:rFonts w:ascii="FoundrySterling-MediumOSF" w:hAnsi="FoundrySterling-MediumOSF"/>
                <w:sz w:val="20"/>
                <w:szCs w:val="20"/>
              </w:rPr>
              <w:sym w:font="Wingdings 2" w:char="F0A3"/>
            </w:r>
            <w:r w:rsidRPr="004815F3">
              <w:rPr>
                <w:rFonts w:ascii="FoundrySterling-MediumOSF" w:hAnsi="FoundrySterling-MediumOSF"/>
                <w:sz w:val="20"/>
                <w:szCs w:val="20"/>
              </w:rPr>
              <w:br/>
              <w:t>Appendix</w:t>
            </w:r>
            <w:r w:rsidRPr="004815F3">
              <w:rPr>
                <w:rStyle w:val="TickBox"/>
                <w:rFonts w:ascii="FoundrySterling-MediumOSF" w:hAnsi="FoundrySterling-MediumOSF"/>
                <w:sz w:val="20"/>
                <w:szCs w:val="20"/>
              </w:rPr>
              <w:t xml:space="preserve"> 3  </w:t>
            </w:r>
            <w:r w:rsidRPr="004815F3">
              <w:rPr>
                <w:rStyle w:val="TickBox"/>
                <w:rFonts w:ascii="FoundrySterling-MediumOSF" w:hAnsi="FoundrySterling-MediumOSF"/>
                <w:sz w:val="20"/>
                <w:szCs w:val="20"/>
              </w:rPr>
              <w:sym w:font="Wingdings 2" w:char="F0A3"/>
            </w:r>
            <w:r w:rsidRPr="004815F3">
              <w:rPr>
                <w:rFonts w:ascii="FoundrySterling-MediumOSF" w:hAnsi="FoundrySterling-MediumOSF"/>
                <w:sz w:val="20"/>
                <w:szCs w:val="20"/>
              </w:rPr>
              <w:t xml:space="preserve">                            Appendix 6 </w:t>
            </w:r>
            <w:r w:rsidRPr="004815F3">
              <w:rPr>
                <w:rStyle w:val="TickBox"/>
                <w:rFonts w:ascii="FoundrySterling-MediumOSF" w:hAnsi="FoundrySterling-MediumOSF"/>
                <w:sz w:val="20"/>
                <w:szCs w:val="20"/>
              </w:rPr>
              <w:t xml:space="preserve"> </w:t>
            </w:r>
            <w:r w:rsidRPr="004815F3">
              <w:rPr>
                <w:rStyle w:val="TickBox"/>
                <w:rFonts w:ascii="FoundrySterling-MediumOSF" w:hAnsi="FoundrySterling-MediumOSF"/>
                <w:sz w:val="20"/>
                <w:szCs w:val="20"/>
              </w:rPr>
              <w:sym w:font="Wingdings 2" w:char="F0A3"/>
            </w:r>
            <w:r w:rsidRPr="004815F3">
              <w:rPr>
                <w:rStyle w:val="TickBox"/>
                <w:rFonts w:ascii="FoundrySterling-MediumOSF" w:hAnsi="FoundrySterling-MediumOSF"/>
                <w:sz w:val="20"/>
                <w:szCs w:val="20"/>
              </w:rPr>
              <w:t xml:space="preserve">                              Appendix 9  </w:t>
            </w:r>
            <w:r w:rsidRPr="004815F3">
              <w:rPr>
                <w:rStyle w:val="TickBox"/>
                <w:rFonts w:ascii="FoundrySterling-MediumOSF" w:hAnsi="FoundrySterling-MediumOSF"/>
                <w:sz w:val="20"/>
                <w:szCs w:val="20"/>
              </w:rPr>
              <w:sym w:font="Wingdings 2" w:char="F0A3"/>
            </w:r>
            <w:r w:rsidR="00663E15">
              <w:rPr>
                <w:rStyle w:val="TickBox"/>
                <w:rFonts w:ascii="FoundrySterling-MediumOSF" w:hAnsi="FoundrySterling-MediumOSF"/>
                <w:sz w:val="20"/>
                <w:szCs w:val="20"/>
              </w:rPr>
              <w:t xml:space="preserve">                                 </w:t>
            </w:r>
          </w:p>
          <w:p w:rsidR="00132AF2" w:rsidRPr="004815F3" w:rsidRDefault="00132AF2">
            <w:pPr>
              <w:spacing w:after="120"/>
              <w:rPr>
                <w:rFonts w:ascii="FoundrySterling-MediumOSF" w:hAnsi="FoundrySterling-MediumOSF"/>
                <w:b/>
                <w:bCs/>
                <w:sz w:val="20"/>
                <w:szCs w:val="20"/>
              </w:rPr>
            </w:pPr>
            <w:r w:rsidRPr="004815F3">
              <w:rPr>
                <w:rFonts w:ascii="FoundrySterling-MediumOSF" w:hAnsi="FoundrySterling-MediumOSF"/>
                <w:sz w:val="20"/>
                <w:szCs w:val="20"/>
              </w:rPr>
              <w:t>Please sign and date the following:</w:t>
            </w:r>
          </w:p>
        </w:tc>
      </w:tr>
      <w:tr w:rsidR="00132AF2" w:rsidRPr="004815F3" w:rsidTr="00482303">
        <w:trPr>
          <w:cantSplit/>
          <w:trHeight w:val="890"/>
        </w:trPr>
        <w:tc>
          <w:tcPr>
            <w:tcW w:w="3085" w:type="dxa"/>
            <w:gridSpan w:val="2"/>
            <w:shd w:val="clear" w:color="auto" w:fill="FFFF66"/>
          </w:tcPr>
          <w:p w:rsidR="00132AF2" w:rsidRPr="004815F3" w:rsidRDefault="00132AF2" w:rsidP="005D2756">
            <w:pPr>
              <w:spacing w:before="120" w:after="120"/>
              <w:jc w:val="both"/>
              <w:rPr>
                <w:rFonts w:ascii="FoundrySterling-MediumOSF" w:hAnsi="FoundrySterling-MediumOSF"/>
                <w:b/>
                <w:bCs/>
                <w:sz w:val="20"/>
                <w:szCs w:val="20"/>
              </w:rPr>
            </w:pPr>
            <w:r w:rsidRPr="004815F3">
              <w:rPr>
                <w:rFonts w:ascii="FoundrySterling-MediumOSF" w:hAnsi="FoundrySterling-MediumOSF"/>
                <w:b/>
                <w:bCs/>
                <w:sz w:val="20"/>
                <w:szCs w:val="20"/>
              </w:rPr>
              <w:t>Administrator</w:t>
            </w:r>
            <w:r w:rsidR="005D2756">
              <w:rPr>
                <w:rFonts w:ascii="FoundrySterling-MediumOSF" w:hAnsi="FoundrySterling-MediumOSF"/>
                <w:b/>
                <w:bCs/>
                <w:sz w:val="20"/>
                <w:szCs w:val="20"/>
              </w:rPr>
              <w:t>/ Authorised Payroll Signatory</w:t>
            </w:r>
            <w:r w:rsidRPr="004815F3">
              <w:rPr>
                <w:rFonts w:ascii="FoundrySterling-MediumOSF" w:hAnsi="FoundrySterling-MediumOSF"/>
                <w:b/>
                <w:bCs/>
                <w:sz w:val="20"/>
                <w:szCs w:val="20"/>
              </w:rPr>
              <w:t>:</w:t>
            </w:r>
          </w:p>
        </w:tc>
        <w:tc>
          <w:tcPr>
            <w:tcW w:w="4253" w:type="dxa"/>
          </w:tcPr>
          <w:p w:rsidR="00132AF2" w:rsidRPr="004815F3" w:rsidRDefault="00132AF2">
            <w:pPr>
              <w:spacing w:before="120" w:after="120"/>
              <w:jc w:val="both"/>
              <w:rPr>
                <w:rFonts w:ascii="FoundrySterling-MediumOSF" w:hAnsi="FoundrySterling-MediumOSF"/>
                <w:b/>
                <w:bCs/>
                <w:sz w:val="20"/>
                <w:szCs w:val="20"/>
              </w:rPr>
            </w:pPr>
            <w:r w:rsidRPr="004815F3">
              <w:rPr>
                <w:rFonts w:ascii="FoundrySterling-MediumOSF" w:hAnsi="FoundrySterling-MediumOSF"/>
                <w:b/>
                <w:bCs/>
                <w:sz w:val="20"/>
                <w:szCs w:val="20"/>
              </w:rPr>
              <w:t>Signed:</w:t>
            </w:r>
          </w:p>
          <w:p w:rsidR="00132AF2" w:rsidRPr="004815F3" w:rsidRDefault="00132AF2">
            <w:pPr>
              <w:spacing w:before="120" w:after="120"/>
              <w:jc w:val="both"/>
              <w:rPr>
                <w:rFonts w:ascii="FoundrySterling-MediumOSF" w:hAnsi="FoundrySterling-MediumOSF"/>
                <w:b/>
                <w:bCs/>
                <w:sz w:val="20"/>
                <w:szCs w:val="20"/>
              </w:rPr>
            </w:pPr>
          </w:p>
        </w:tc>
        <w:tc>
          <w:tcPr>
            <w:tcW w:w="5244" w:type="dxa"/>
          </w:tcPr>
          <w:p w:rsidR="00132AF2" w:rsidRPr="004815F3" w:rsidRDefault="00132AF2">
            <w:pPr>
              <w:spacing w:before="120" w:after="120"/>
              <w:jc w:val="both"/>
              <w:rPr>
                <w:rFonts w:ascii="FoundrySterling-MediumOSF" w:hAnsi="FoundrySterling-MediumOSF"/>
                <w:b/>
                <w:bCs/>
                <w:sz w:val="20"/>
                <w:szCs w:val="20"/>
              </w:rPr>
            </w:pPr>
            <w:r w:rsidRPr="004815F3">
              <w:rPr>
                <w:rFonts w:ascii="FoundrySterling-MediumOSF" w:hAnsi="FoundrySterling-MediumOSF"/>
                <w:b/>
                <w:bCs/>
                <w:sz w:val="20"/>
                <w:szCs w:val="20"/>
              </w:rPr>
              <w:t>Please print name:</w:t>
            </w:r>
          </w:p>
        </w:tc>
        <w:tc>
          <w:tcPr>
            <w:tcW w:w="2001" w:type="dxa"/>
          </w:tcPr>
          <w:p w:rsidR="00132AF2" w:rsidRPr="004815F3" w:rsidRDefault="00132AF2">
            <w:pPr>
              <w:spacing w:before="120" w:after="120"/>
              <w:jc w:val="both"/>
              <w:rPr>
                <w:rFonts w:ascii="FoundrySterling-MediumOSF" w:hAnsi="FoundrySterling-MediumOSF"/>
                <w:b/>
                <w:bCs/>
                <w:sz w:val="20"/>
                <w:szCs w:val="20"/>
              </w:rPr>
            </w:pPr>
            <w:r w:rsidRPr="004815F3">
              <w:rPr>
                <w:rFonts w:ascii="FoundrySterling-MediumOSF" w:hAnsi="FoundrySterling-MediumOSF"/>
                <w:b/>
                <w:bCs/>
                <w:sz w:val="20"/>
                <w:szCs w:val="20"/>
              </w:rPr>
              <w:t>Date:</w:t>
            </w:r>
          </w:p>
        </w:tc>
      </w:tr>
      <w:tr w:rsidR="00132AF2" w:rsidRPr="004815F3">
        <w:trPr>
          <w:cantSplit/>
          <w:trHeight w:val="894"/>
        </w:trPr>
        <w:tc>
          <w:tcPr>
            <w:tcW w:w="14583" w:type="dxa"/>
            <w:gridSpan w:val="5"/>
          </w:tcPr>
          <w:p w:rsidR="00132AF2" w:rsidRPr="004815F3" w:rsidRDefault="00132AF2">
            <w:pPr>
              <w:spacing w:after="120"/>
              <w:jc w:val="both"/>
              <w:rPr>
                <w:rFonts w:ascii="FoundrySterling-MediumOSF" w:hAnsi="FoundrySterling-MediumOSF"/>
                <w:sz w:val="20"/>
                <w:szCs w:val="20"/>
              </w:rPr>
            </w:pPr>
            <w:r w:rsidRPr="004815F3">
              <w:rPr>
                <w:rFonts w:ascii="FoundrySterling-MediumOSF" w:hAnsi="FoundrySterling-MediumOSF"/>
                <w:sz w:val="20"/>
                <w:szCs w:val="20"/>
              </w:rPr>
              <w:br/>
              <w:t>If there is any additional information which you wish to add to this return, please include it below or indicate below that it is included on an attachment:</w:t>
            </w:r>
          </w:p>
          <w:p w:rsidR="00132AF2" w:rsidRPr="004815F3" w:rsidRDefault="00132AF2">
            <w:pPr>
              <w:spacing w:after="120"/>
              <w:jc w:val="both"/>
              <w:rPr>
                <w:rFonts w:ascii="FoundrySterling-MediumOSF" w:hAnsi="FoundrySterling-MediumOSF"/>
                <w:sz w:val="20"/>
                <w:szCs w:val="20"/>
              </w:rPr>
            </w:pPr>
          </w:p>
        </w:tc>
      </w:tr>
      <w:tr w:rsidR="00132AF2" w:rsidRPr="004815F3" w:rsidTr="005D2756">
        <w:trPr>
          <w:cantSplit/>
          <w:trHeight w:val="2548"/>
        </w:trPr>
        <w:tc>
          <w:tcPr>
            <w:tcW w:w="14583" w:type="dxa"/>
            <w:gridSpan w:val="5"/>
          </w:tcPr>
          <w:p w:rsidR="00132AF2" w:rsidRDefault="00132AF2">
            <w:pPr>
              <w:spacing w:after="120"/>
              <w:rPr>
                <w:rFonts w:ascii="FoundrySterling-MediumOSF" w:hAnsi="FoundrySterling-MediumOSF"/>
                <w:sz w:val="20"/>
                <w:szCs w:val="20"/>
              </w:rPr>
            </w:pPr>
            <w:r w:rsidRPr="004815F3">
              <w:rPr>
                <w:rFonts w:ascii="FoundrySterling-MediumOSF" w:hAnsi="FoundrySterling-MediumOSF"/>
                <w:sz w:val="20"/>
                <w:szCs w:val="20"/>
              </w:rPr>
              <w:t>Please return this completed document</w:t>
            </w:r>
            <w:r w:rsidR="00552DF0">
              <w:rPr>
                <w:rFonts w:ascii="FoundrySterling-MediumOSF" w:hAnsi="FoundrySterling-MediumOSF"/>
                <w:sz w:val="20"/>
                <w:szCs w:val="20"/>
              </w:rPr>
              <w:t xml:space="preserve"> </w:t>
            </w:r>
            <w:r w:rsidRPr="004815F3">
              <w:rPr>
                <w:rFonts w:ascii="FoundrySterling-MediumOSF" w:hAnsi="FoundrySterling-MediumOSF"/>
                <w:sz w:val="20"/>
                <w:szCs w:val="20"/>
              </w:rPr>
              <w:t>plus indicated appendices</w:t>
            </w:r>
            <w:r w:rsidR="00552DF0">
              <w:rPr>
                <w:rFonts w:ascii="FoundrySterling-MediumOSF" w:hAnsi="FoundrySterling-MediumOSF"/>
                <w:sz w:val="20"/>
                <w:szCs w:val="20"/>
              </w:rPr>
              <w:t>,</w:t>
            </w:r>
            <w:r w:rsidR="00552DF0">
              <w:t xml:space="preserve"> </w:t>
            </w:r>
            <w:r w:rsidR="00552DF0" w:rsidRPr="00552DF0">
              <w:rPr>
                <w:rFonts w:ascii="FoundrySterling-MediumOSF" w:hAnsi="FoundrySterling-MediumOSF"/>
                <w:sz w:val="20"/>
                <w:szCs w:val="20"/>
              </w:rPr>
              <w:t xml:space="preserve">by email only, </w:t>
            </w:r>
            <w:r w:rsidRPr="004815F3">
              <w:rPr>
                <w:rFonts w:ascii="FoundrySterling-MediumOSF" w:hAnsi="FoundrySterling-MediumOSF"/>
                <w:sz w:val="20"/>
                <w:szCs w:val="20"/>
              </w:rPr>
              <w:t>to:</w:t>
            </w:r>
          </w:p>
          <w:p w:rsidR="005D2756" w:rsidRPr="004815F3" w:rsidRDefault="005D2756">
            <w:pPr>
              <w:spacing w:after="120"/>
              <w:rPr>
                <w:rFonts w:ascii="FoundrySterling-MediumOSF" w:hAnsi="FoundrySterling-MediumOSF"/>
                <w:sz w:val="20"/>
                <w:szCs w:val="20"/>
              </w:rPr>
            </w:pPr>
          </w:p>
          <w:p w:rsidR="00132AF2" w:rsidRPr="004815F3" w:rsidRDefault="00F97494" w:rsidP="002174FD">
            <w:pPr>
              <w:spacing w:after="0"/>
              <w:rPr>
                <w:rFonts w:ascii="FoundrySterling-MediumOSF" w:hAnsi="FoundrySterling-MediumOSF"/>
                <w:sz w:val="20"/>
                <w:szCs w:val="20"/>
              </w:rPr>
            </w:pPr>
            <w:hyperlink r:id="rId28" w:history="1">
              <w:r w:rsidR="002174FD" w:rsidRPr="002174FD">
                <w:rPr>
                  <w:rStyle w:val="Hyperlink"/>
                  <w:rFonts w:ascii="FoundrySterling-MediumOSF" w:hAnsi="FoundrySterling-MediumOSF"/>
                  <w:sz w:val="20"/>
                  <w:szCs w:val="20"/>
                </w:rPr>
                <w:t>P11D@admin.ox.ac.uk</w:t>
              </w:r>
            </w:hyperlink>
          </w:p>
        </w:tc>
      </w:tr>
    </w:tbl>
    <w:p w:rsidR="00132AF2" w:rsidRPr="004815F3" w:rsidRDefault="00132AF2">
      <w:pPr>
        <w:spacing w:after="0"/>
        <w:rPr>
          <w:rFonts w:ascii="FoundrySterling-MediumOSF" w:hAnsi="FoundrySterling-MediumOSF"/>
          <w:sz w:val="20"/>
          <w:szCs w:val="20"/>
        </w:rPr>
      </w:pPr>
      <w:bookmarkStart w:id="0" w:name="_GoBack"/>
      <w:bookmarkEnd w:id="0"/>
    </w:p>
    <w:sectPr w:rsidR="00132AF2" w:rsidRPr="004815F3" w:rsidSect="00663E15">
      <w:headerReference w:type="default" r:id="rId29"/>
      <w:footerReference w:type="even" r:id="rId30"/>
      <w:footerReference w:type="default" r:id="rId31"/>
      <w:footnotePr>
        <w:numRestart w:val="eachPage"/>
      </w:footnotePr>
      <w:pgSz w:w="16838" w:h="11906" w:orient="landscape" w:code="9"/>
      <w:pgMar w:top="720" w:right="720" w:bottom="567" w:left="720" w:header="283"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5E6" w:rsidRDefault="00E875E6">
      <w:pPr>
        <w:spacing w:after="0"/>
      </w:pPr>
      <w:r>
        <w:separator/>
      </w:r>
    </w:p>
  </w:endnote>
  <w:endnote w:type="continuationSeparator" w:id="0">
    <w:p w:rsidR="00E875E6" w:rsidRDefault="00E87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Sterling-MediumOSF">
    <w:panose1 w:val="02000500000000000000"/>
    <w:charset w:val="00"/>
    <w:family w:val="auto"/>
    <w:pitch w:val="variable"/>
    <w:sig w:usb0="80000027" w:usb1="0000004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undrySterling-Book">
    <w:panose1 w:val="00000400000000000000"/>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E6" w:rsidRDefault="00267B7F">
    <w:pPr>
      <w:pStyle w:val="Footer"/>
      <w:framePr w:wrap="around" w:vAnchor="text" w:hAnchor="margin" w:xAlign="center" w:y="1"/>
      <w:rPr>
        <w:rStyle w:val="PageNumber"/>
      </w:rPr>
    </w:pPr>
    <w:r>
      <w:rPr>
        <w:rStyle w:val="PageNumber"/>
      </w:rPr>
      <w:fldChar w:fldCharType="begin"/>
    </w:r>
    <w:r w:rsidR="00E875E6">
      <w:rPr>
        <w:rStyle w:val="PageNumber"/>
      </w:rPr>
      <w:instrText xml:space="preserve">PAGE  </w:instrText>
    </w:r>
    <w:r>
      <w:rPr>
        <w:rStyle w:val="PageNumber"/>
      </w:rPr>
      <w:fldChar w:fldCharType="end"/>
    </w:r>
  </w:p>
  <w:p w:rsidR="00E875E6" w:rsidRDefault="00E87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E6" w:rsidRDefault="00267B7F">
    <w:pPr>
      <w:pStyle w:val="Footer"/>
      <w:framePr w:wrap="around" w:vAnchor="text" w:hAnchor="margin" w:xAlign="center" w:y="1"/>
      <w:rPr>
        <w:rStyle w:val="PageNumber"/>
        <w:rFonts w:ascii="Arial" w:hAnsi="Arial"/>
        <w:sz w:val="20"/>
      </w:rPr>
    </w:pPr>
    <w:r>
      <w:rPr>
        <w:rStyle w:val="PageNumber"/>
        <w:rFonts w:ascii="Arial" w:hAnsi="Arial"/>
        <w:sz w:val="20"/>
      </w:rPr>
      <w:fldChar w:fldCharType="begin"/>
    </w:r>
    <w:r w:rsidR="00E875E6">
      <w:rPr>
        <w:rStyle w:val="PageNumber"/>
        <w:rFonts w:ascii="Arial" w:hAnsi="Arial"/>
        <w:sz w:val="20"/>
      </w:rPr>
      <w:instrText xml:space="preserve">PAGE  </w:instrText>
    </w:r>
    <w:r>
      <w:rPr>
        <w:rStyle w:val="PageNumber"/>
        <w:rFonts w:ascii="Arial" w:hAnsi="Arial"/>
        <w:sz w:val="20"/>
      </w:rPr>
      <w:fldChar w:fldCharType="separate"/>
    </w:r>
    <w:r w:rsidR="00F97494">
      <w:rPr>
        <w:rStyle w:val="PageNumber"/>
        <w:rFonts w:ascii="Arial" w:hAnsi="Arial"/>
        <w:noProof/>
        <w:sz w:val="20"/>
      </w:rPr>
      <w:t>9</w:t>
    </w:r>
    <w:r>
      <w:rPr>
        <w:rStyle w:val="PageNumber"/>
        <w:rFonts w:ascii="Arial" w:hAnsi="Arial"/>
        <w:sz w:val="20"/>
      </w:rPr>
      <w:fldChar w:fldCharType="end"/>
    </w:r>
  </w:p>
  <w:p w:rsidR="00E875E6" w:rsidRDefault="00E87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5E6" w:rsidRDefault="00E875E6">
      <w:pPr>
        <w:pStyle w:val="FootnoteSeparator"/>
      </w:pPr>
    </w:p>
  </w:footnote>
  <w:footnote w:type="continuationSeparator" w:id="0">
    <w:p w:rsidR="00E875E6" w:rsidRDefault="00E875E6">
      <w:pPr>
        <w:pStyle w:val="FootnoteSeparator"/>
      </w:pPr>
    </w:p>
  </w:footnote>
  <w:footnote w:type="continuationNotice" w:id="1">
    <w:p w:rsidR="00E875E6" w:rsidRDefault="00E875E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5E6" w:rsidRDefault="0009394A">
    <w:pPr>
      <w:pStyle w:val="Header"/>
      <w:rPr>
        <w:rFonts w:ascii="Arial" w:hAnsi="Arial"/>
        <w:sz w:val="20"/>
      </w:rPr>
    </w:pPr>
    <w:r>
      <w:rPr>
        <w:rFonts w:ascii="Arial" w:hAnsi="Arial"/>
        <w:sz w:val="20"/>
      </w:rPr>
      <w:t>U</w:t>
    </w:r>
    <w:r w:rsidR="00E875E6">
      <w:rPr>
        <w:rFonts w:ascii="Arial" w:hAnsi="Arial"/>
        <w:sz w:val="20"/>
      </w:rPr>
      <w:t>niversity of Oxford – Department</w:t>
    </w:r>
    <w:r w:rsidR="00051329">
      <w:rPr>
        <w:rFonts w:ascii="Arial" w:hAnsi="Arial"/>
        <w:sz w:val="20"/>
      </w:rPr>
      <w:t>a</w:t>
    </w:r>
    <w:r w:rsidR="00B3318D">
      <w:rPr>
        <w:rFonts w:ascii="Arial" w:hAnsi="Arial"/>
        <w:sz w:val="20"/>
      </w:rPr>
      <w:t>l P11D return for Tax Year 2020/21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1E4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EA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0E8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67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6E83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01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BE02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0B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C8F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8A25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00282"/>
    <w:multiLevelType w:val="multilevel"/>
    <w:tmpl w:val="20F263AA"/>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13572F51"/>
    <w:multiLevelType w:val="hybridMultilevel"/>
    <w:tmpl w:val="F014C384"/>
    <w:lvl w:ilvl="0" w:tplc="19E27A28">
      <w:start w:val="1"/>
      <w:numFmt w:val="lowerLetter"/>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C42FDA"/>
    <w:multiLevelType w:val="multilevel"/>
    <w:tmpl w:val="0B4A53A6"/>
    <w:lvl w:ilvl="0">
      <w:start w:val="1"/>
      <w:numFmt w:val="decimal"/>
      <w:lvlRestart w:val="0"/>
      <w:lvlText w:val="%1."/>
      <w:lvlJc w:val="left"/>
      <w:pPr>
        <w:tabs>
          <w:tab w:val="num" w:pos="576"/>
        </w:tabs>
        <w:ind w:left="576" w:hanging="576"/>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3456"/>
        </w:tabs>
        <w:ind w:left="3456" w:hanging="1152"/>
      </w:pPr>
      <w:rPr>
        <w:rFonts w:hint="default"/>
      </w:rPr>
    </w:lvl>
    <w:lvl w:ilvl="5">
      <w:start w:val="1"/>
      <w:numFmt w:val="lowerLetter"/>
      <w:lvlText w:val="(%6)"/>
      <w:lvlJc w:val="left"/>
      <w:pPr>
        <w:tabs>
          <w:tab w:val="num" w:pos="2304"/>
        </w:tabs>
        <w:ind w:left="2304" w:hanging="576"/>
      </w:pPr>
      <w:rPr>
        <w:rFonts w:hint="default"/>
      </w:rPr>
    </w:lvl>
    <w:lvl w:ilvl="6">
      <w:start w:val="1"/>
      <w:numFmt w:val="lowerRoman"/>
      <w:lvlText w:val="(%7)"/>
      <w:lvlJc w:val="right"/>
      <w:pPr>
        <w:tabs>
          <w:tab w:val="num" w:pos="2304"/>
        </w:tabs>
        <w:ind w:left="2304" w:hanging="144"/>
      </w:pPr>
      <w:rPr>
        <w:rFonts w:hint="default"/>
      </w:rPr>
    </w:lvl>
    <w:lvl w:ilvl="7">
      <w:start w:val="1"/>
      <w:numFmt w:val="none"/>
      <w:lvlText w:val=""/>
      <w:lvlJc w:val="left"/>
      <w:pPr>
        <w:tabs>
          <w:tab w:val="num" w:pos="576"/>
        </w:tabs>
        <w:ind w:left="0" w:firstLine="0"/>
      </w:pPr>
      <w:rPr>
        <w:rFonts w:hint="default"/>
      </w:rPr>
    </w:lvl>
    <w:lvl w:ilvl="8">
      <w:start w:val="1"/>
      <w:numFmt w:val="none"/>
      <w:lvlText w:val=""/>
      <w:lvlJc w:val="left"/>
      <w:pPr>
        <w:tabs>
          <w:tab w:val="num" w:pos="576"/>
        </w:tabs>
        <w:ind w:left="0" w:firstLine="0"/>
      </w:pPr>
      <w:rPr>
        <w:rFonts w:hint="default"/>
      </w:rPr>
    </w:lvl>
  </w:abstractNum>
  <w:abstractNum w:abstractNumId="1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235705AB"/>
    <w:multiLevelType w:val="hybridMultilevel"/>
    <w:tmpl w:val="5896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9705C6"/>
    <w:multiLevelType w:val="hybridMultilevel"/>
    <w:tmpl w:val="77FA588E"/>
    <w:lvl w:ilvl="0" w:tplc="9A74CC50">
      <w:start w:val="1"/>
      <w:numFmt w:val="bullet"/>
      <w:lvlText w:val=""/>
      <w:lvlJc w:val="left"/>
      <w:pPr>
        <w:tabs>
          <w:tab w:val="num" w:pos="720"/>
        </w:tabs>
        <w:ind w:left="720" w:hanging="360"/>
      </w:pPr>
      <w:rPr>
        <w:rFonts w:ascii="Symbol" w:hAnsi="Symbol" w:hint="default"/>
        <w:sz w:val="20"/>
      </w:rPr>
    </w:lvl>
    <w:lvl w:ilvl="1" w:tplc="9964FD2C" w:tentative="1">
      <w:start w:val="1"/>
      <w:numFmt w:val="bullet"/>
      <w:lvlText w:val="o"/>
      <w:lvlJc w:val="left"/>
      <w:pPr>
        <w:tabs>
          <w:tab w:val="num" w:pos="1440"/>
        </w:tabs>
        <w:ind w:left="1440" w:hanging="360"/>
      </w:pPr>
      <w:rPr>
        <w:rFonts w:ascii="Courier New" w:hAnsi="Courier New" w:hint="default"/>
        <w:sz w:val="20"/>
      </w:rPr>
    </w:lvl>
    <w:lvl w:ilvl="2" w:tplc="44CEF35C" w:tentative="1">
      <w:start w:val="1"/>
      <w:numFmt w:val="bullet"/>
      <w:lvlText w:val=""/>
      <w:lvlJc w:val="left"/>
      <w:pPr>
        <w:tabs>
          <w:tab w:val="num" w:pos="2160"/>
        </w:tabs>
        <w:ind w:left="2160" w:hanging="360"/>
      </w:pPr>
      <w:rPr>
        <w:rFonts w:ascii="Wingdings" w:hAnsi="Wingdings" w:hint="default"/>
        <w:sz w:val="20"/>
      </w:rPr>
    </w:lvl>
    <w:lvl w:ilvl="3" w:tplc="919698A2" w:tentative="1">
      <w:start w:val="1"/>
      <w:numFmt w:val="bullet"/>
      <w:lvlText w:val=""/>
      <w:lvlJc w:val="left"/>
      <w:pPr>
        <w:tabs>
          <w:tab w:val="num" w:pos="2880"/>
        </w:tabs>
        <w:ind w:left="2880" w:hanging="360"/>
      </w:pPr>
      <w:rPr>
        <w:rFonts w:ascii="Wingdings" w:hAnsi="Wingdings" w:hint="default"/>
        <w:sz w:val="20"/>
      </w:rPr>
    </w:lvl>
    <w:lvl w:ilvl="4" w:tplc="2BA6097E" w:tentative="1">
      <w:start w:val="1"/>
      <w:numFmt w:val="bullet"/>
      <w:lvlText w:val=""/>
      <w:lvlJc w:val="left"/>
      <w:pPr>
        <w:tabs>
          <w:tab w:val="num" w:pos="3600"/>
        </w:tabs>
        <w:ind w:left="3600" w:hanging="360"/>
      </w:pPr>
      <w:rPr>
        <w:rFonts w:ascii="Wingdings" w:hAnsi="Wingdings" w:hint="default"/>
        <w:sz w:val="20"/>
      </w:rPr>
    </w:lvl>
    <w:lvl w:ilvl="5" w:tplc="9A3220B0" w:tentative="1">
      <w:start w:val="1"/>
      <w:numFmt w:val="bullet"/>
      <w:lvlText w:val=""/>
      <w:lvlJc w:val="left"/>
      <w:pPr>
        <w:tabs>
          <w:tab w:val="num" w:pos="4320"/>
        </w:tabs>
        <w:ind w:left="4320" w:hanging="360"/>
      </w:pPr>
      <w:rPr>
        <w:rFonts w:ascii="Wingdings" w:hAnsi="Wingdings" w:hint="default"/>
        <w:sz w:val="20"/>
      </w:rPr>
    </w:lvl>
    <w:lvl w:ilvl="6" w:tplc="5478E250" w:tentative="1">
      <w:start w:val="1"/>
      <w:numFmt w:val="bullet"/>
      <w:lvlText w:val=""/>
      <w:lvlJc w:val="left"/>
      <w:pPr>
        <w:tabs>
          <w:tab w:val="num" w:pos="5040"/>
        </w:tabs>
        <w:ind w:left="5040" w:hanging="360"/>
      </w:pPr>
      <w:rPr>
        <w:rFonts w:ascii="Wingdings" w:hAnsi="Wingdings" w:hint="default"/>
        <w:sz w:val="20"/>
      </w:rPr>
    </w:lvl>
    <w:lvl w:ilvl="7" w:tplc="BEE04BB6" w:tentative="1">
      <w:start w:val="1"/>
      <w:numFmt w:val="bullet"/>
      <w:lvlText w:val=""/>
      <w:lvlJc w:val="left"/>
      <w:pPr>
        <w:tabs>
          <w:tab w:val="num" w:pos="5760"/>
        </w:tabs>
        <w:ind w:left="5760" w:hanging="360"/>
      </w:pPr>
      <w:rPr>
        <w:rFonts w:ascii="Wingdings" w:hAnsi="Wingdings" w:hint="default"/>
        <w:sz w:val="20"/>
      </w:rPr>
    </w:lvl>
    <w:lvl w:ilvl="8" w:tplc="1DE64AA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E2F4898"/>
    <w:multiLevelType w:val="hybridMultilevel"/>
    <w:tmpl w:val="4404B2CE"/>
    <w:lvl w:ilvl="0" w:tplc="0602B626">
      <w:start w:val="1"/>
      <w:numFmt w:val="bullet"/>
      <w:lvlText w:val=""/>
      <w:lvlJc w:val="left"/>
      <w:pPr>
        <w:tabs>
          <w:tab w:val="num" w:pos="720"/>
        </w:tabs>
        <w:ind w:left="720" w:hanging="360"/>
      </w:pPr>
      <w:rPr>
        <w:rFonts w:ascii="Symbol" w:hAnsi="Symbol" w:hint="default"/>
        <w:sz w:val="20"/>
      </w:rPr>
    </w:lvl>
    <w:lvl w:ilvl="1" w:tplc="5B58BB1C" w:tentative="1">
      <w:start w:val="1"/>
      <w:numFmt w:val="bullet"/>
      <w:lvlText w:val="o"/>
      <w:lvlJc w:val="left"/>
      <w:pPr>
        <w:tabs>
          <w:tab w:val="num" w:pos="1440"/>
        </w:tabs>
        <w:ind w:left="1440" w:hanging="360"/>
      </w:pPr>
      <w:rPr>
        <w:rFonts w:ascii="Courier New" w:hAnsi="Courier New" w:hint="default"/>
        <w:sz w:val="20"/>
      </w:rPr>
    </w:lvl>
    <w:lvl w:ilvl="2" w:tplc="C2142EE2" w:tentative="1">
      <w:start w:val="1"/>
      <w:numFmt w:val="bullet"/>
      <w:lvlText w:val=""/>
      <w:lvlJc w:val="left"/>
      <w:pPr>
        <w:tabs>
          <w:tab w:val="num" w:pos="2160"/>
        </w:tabs>
        <w:ind w:left="2160" w:hanging="360"/>
      </w:pPr>
      <w:rPr>
        <w:rFonts w:ascii="Wingdings" w:hAnsi="Wingdings" w:hint="default"/>
        <w:sz w:val="20"/>
      </w:rPr>
    </w:lvl>
    <w:lvl w:ilvl="3" w:tplc="E03E3A7E" w:tentative="1">
      <w:start w:val="1"/>
      <w:numFmt w:val="bullet"/>
      <w:lvlText w:val=""/>
      <w:lvlJc w:val="left"/>
      <w:pPr>
        <w:tabs>
          <w:tab w:val="num" w:pos="2880"/>
        </w:tabs>
        <w:ind w:left="2880" w:hanging="360"/>
      </w:pPr>
      <w:rPr>
        <w:rFonts w:ascii="Wingdings" w:hAnsi="Wingdings" w:hint="default"/>
        <w:sz w:val="20"/>
      </w:rPr>
    </w:lvl>
    <w:lvl w:ilvl="4" w:tplc="717AF526" w:tentative="1">
      <w:start w:val="1"/>
      <w:numFmt w:val="bullet"/>
      <w:lvlText w:val=""/>
      <w:lvlJc w:val="left"/>
      <w:pPr>
        <w:tabs>
          <w:tab w:val="num" w:pos="3600"/>
        </w:tabs>
        <w:ind w:left="3600" w:hanging="360"/>
      </w:pPr>
      <w:rPr>
        <w:rFonts w:ascii="Wingdings" w:hAnsi="Wingdings" w:hint="default"/>
        <w:sz w:val="20"/>
      </w:rPr>
    </w:lvl>
    <w:lvl w:ilvl="5" w:tplc="5B02CD64" w:tentative="1">
      <w:start w:val="1"/>
      <w:numFmt w:val="bullet"/>
      <w:lvlText w:val=""/>
      <w:lvlJc w:val="left"/>
      <w:pPr>
        <w:tabs>
          <w:tab w:val="num" w:pos="4320"/>
        </w:tabs>
        <w:ind w:left="4320" w:hanging="360"/>
      </w:pPr>
      <w:rPr>
        <w:rFonts w:ascii="Wingdings" w:hAnsi="Wingdings" w:hint="default"/>
        <w:sz w:val="20"/>
      </w:rPr>
    </w:lvl>
    <w:lvl w:ilvl="6" w:tplc="ED86CE3C" w:tentative="1">
      <w:start w:val="1"/>
      <w:numFmt w:val="bullet"/>
      <w:lvlText w:val=""/>
      <w:lvlJc w:val="left"/>
      <w:pPr>
        <w:tabs>
          <w:tab w:val="num" w:pos="5040"/>
        </w:tabs>
        <w:ind w:left="5040" w:hanging="360"/>
      </w:pPr>
      <w:rPr>
        <w:rFonts w:ascii="Wingdings" w:hAnsi="Wingdings" w:hint="default"/>
        <w:sz w:val="20"/>
      </w:rPr>
    </w:lvl>
    <w:lvl w:ilvl="7" w:tplc="63DC7F54" w:tentative="1">
      <w:start w:val="1"/>
      <w:numFmt w:val="bullet"/>
      <w:lvlText w:val=""/>
      <w:lvlJc w:val="left"/>
      <w:pPr>
        <w:tabs>
          <w:tab w:val="num" w:pos="5760"/>
        </w:tabs>
        <w:ind w:left="5760" w:hanging="360"/>
      </w:pPr>
      <w:rPr>
        <w:rFonts w:ascii="Wingdings" w:hAnsi="Wingdings" w:hint="default"/>
        <w:sz w:val="20"/>
      </w:rPr>
    </w:lvl>
    <w:lvl w:ilvl="8" w:tplc="4F26D8F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DA0118"/>
    <w:multiLevelType w:val="hybridMultilevel"/>
    <w:tmpl w:val="2892E238"/>
    <w:lvl w:ilvl="0" w:tplc="07886702">
      <w:start w:val="1"/>
      <w:numFmt w:val="bullet"/>
      <w:lvlText w:val=""/>
      <w:lvlJc w:val="left"/>
      <w:pPr>
        <w:tabs>
          <w:tab w:val="num" w:pos="720"/>
        </w:tabs>
        <w:ind w:left="720" w:hanging="360"/>
      </w:pPr>
      <w:rPr>
        <w:rFonts w:ascii="Symbol" w:hAnsi="Symbol" w:hint="default"/>
        <w:sz w:val="20"/>
      </w:rPr>
    </w:lvl>
    <w:lvl w:ilvl="1" w:tplc="17F8FF4E" w:tentative="1">
      <w:start w:val="1"/>
      <w:numFmt w:val="bullet"/>
      <w:lvlText w:val="o"/>
      <w:lvlJc w:val="left"/>
      <w:pPr>
        <w:tabs>
          <w:tab w:val="num" w:pos="1440"/>
        </w:tabs>
        <w:ind w:left="1440" w:hanging="360"/>
      </w:pPr>
      <w:rPr>
        <w:rFonts w:ascii="Courier New" w:hAnsi="Courier New" w:hint="default"/>
        <w:sz w:val="20"/>
      </w:rPr>
    </w:lvl>
    <w:lvl w:ilvl="2" w:tplc="F7AAD6B8" w:tentative="1">
      <w:start w:val="1"/>
      <w:numFmt w:val="bullet"/>
      <w:lvlText w:val=""/>
      <w:lvlJc w:val="left"/>
      <w:pPr>
        <w:tabs>
          <w:tab w:val="num" w:pos="2160"/>
        </w:tabs>
        <w:ind w:left="2160" w:hanging="360"/>
      </w:pPr>
      <w:rPr>
        <w:rFonts w:ascii="Wingdings" w:hAnsi="Wingdings" w:hint="default"/>
        <w:sz w:val="20"/>
      </w:rPr>
    </w:lvl>
    <w:lvl w:ilvl="3" w:tplc="E662DD2C" w:tentative="1">
      <w:start w:val="1"/>
      <w:numFmt w:val="bullet"/>
      <w:lvlText w:val=""/>
      <w:lvlJc w:val="left"/>
      <w:pPr>
        <w:tabs>
          <w:tab w:val="num" w:pos="2880"/>
        </w:tabs>
        <w:ind w:left="2880" w:hanging="360"/>
      </w:pPr>
      <w:rPr>
        <w:rFonts w:ascii="Wingdings" w:hAnsi="Wingdings" w:hint="default"/>
        <w:sz w:val="20"/>
      </w:rPr>
    </w:lvl>
    <w:lvl w:ilvl="4" w:tplc="62666480" w:tentative="1">
      <w:start w:val="1"/>
      <w:numFmt w:val="bullet"/>
      <w:lvlText w:val=""/>
      <w:lvlJc w:val="left"/>
      <w:pPr>
        <w:tabs>
          <w:tab w:val="num" w:pos="3600"/>
        </w:tabs>
        <w:ind w:left="3600" w:hanging="360"/>
      </w:pPr>
      <w:rPr>
        <w:rFonts w:ascii="Wingdings" w:hAnsi="Wingdings" w:hint="default"/>
        <w:sz w:val="20"/>
      </w:rPr>
    </w:lvl>
    <w:lvl w:ilvl="5" w:tplc="F7C28578" w:tentative="1">
      <w:start w:val="1"/>
      <w:numFmt w:val="bullet"/>
      <w:lvlText w:val=""/>
      <w:lvlJc w:val="left"/>
      <w:pPr>
        <w:tabs>
          <w:tab w:val="num" w:pos="4320"/>
        </w:tabs>
        <w:ind w:left="4320" w:hanging="360"/>
      </w:pPr>
      <w:rPr>
        <w:rFonts w:ascii="Wingdings" w:hAnsi="Wingdings" w:hint="default"/>
        <w:sz w:val="20"/>
      </w:rPr>
    </w:lvl>
    <w:lvl w:ilvl="6" w:tplc="EBC46F26" w:tentative="1">
      <w:start w:val="1"/>
      <w:numFmt w:val="bullet"/>
      <w:lvlText w:val=""/>
      <w:lvlJc w:val="left"/>
      <w:pPr>
        <w:tabs>
          <w:tab w:val="num" w:pos="5040"/>
        </w:tabs>
        <w:ind w:left="5040" w:hanging="360"/>
      </w:pPr>
      <w:rPr>
        <w:rFonts w:ascii="Wingdings" w:hAnsi="Wingdings" w:hint="default"/>
        <w:sz w:val="20"/>
      </w:rPr>
    </w:lvl>
    <w:lvl w:ilvl="7" w:tplc="9612AAA8" w:tentative="1">
      <w:start w:val="1"/>
      <w:numFmt w:val="bullet"/>
      <w:lvlText w:val=""/>
      <w:lvlJc w:val="left"/>
      <w:pPr>
        <w:tabs>
          <w:tab w:val="num" w:pos="5760"/>
        </w:tabs>
        <w:ind w:left="5760" w:hanging="360"/>
      </w:pPr>
      <w:rPr>
        <w:rFonts w:ascii="Wingdings" w:hAnsi="Wingdings" w:hint="default"/>
        <w:sz w:val="20"/>
      </w:rPr>
    </w:lvl>
    <w:lvl w:ilvl="8" w:tplc="93DCF38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BA477E"/>
    <w:multiLevelType w:val="hybridMultilevel"/>
    <w:tmpl w:val="DF58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4"/>
  </w:num>
  <w:num w:numId="4">
    <w:abstractNumId w:val="23"/>
  </w:num>
  <w:num w:numId="5">
    <w:abstractNumId w:val="17"/>
  </w:num>
  <w:num w:numId="6">
    <w:abstractNumId w:val="25"/>
  </w:num>
  <w:num w:numId="7">
    <w:abstractNumId w:val="19"/>
  </w:num>
  <w:num w:numId="8">
    <w:abstractNumId w:val="27"/>
  </w:num>
  <w:num w:numId="9">
    <w:abstractNumId w:val="28"/>
  </w:num>
  <w:num w:numId="10">
    <w:abstractNumId w:val="13"/>
  </w:num>
  <w:num w:numId="11">
    <w:abstractNumId w:val="21"/>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2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num>
  <w:num w:numId="33">
    <w:abstractNumId w:val="14"/>
  </w:num>
  <w:num w:numId="34">
    <w:abstractNumId w:val="1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0"/>
  </w:num>
  <w:num w:numId="38">
    <w:abstractNumId w:val="24"/>
  </w:num>
  <w:num w:numId="39">
    <w:abstractNumId w:val="20"/>
  </w:num>
  <w:num w:numId="40">
    <w:abstractNumId w:val="11"/>
  </w:num>
  <w:num w:numId="41">
    <w:abstractNumId w:val="26"/>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61441"/>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1A"/>
    <w:rsid w:val="00032BA0"/>
    <w:rsid w:val="00036666"/>
    <w:rsid w:val="00051329"/>
    <w:rsid w:val="00056BF7"/>
    <w:rsid w:val="000711A9"/>
    <w:rsid w:val="000801E1"/>
    <w:rsid w:val="0009394A"/>
    <w:rsid w:val="000A1053"/>
    <w:rsid w:val="000B6184"/>
    <w:rsid w:val="000F710D"/>
    <w:rsid w:val="00103BFA"/>
    <w:rsid w:val="00114845"/>
    <w:rsid w:val="00117272"/>
    <w:rsid w:val="001318D3"/>
    <w:rsid w:val="00132AF2"/>
    <w:rsid w:val="001361B5"/>
    <w:rsid w:val="00180629"/>
    <w:rsid w:val="001A414B"/>
    <w:rsid w:val="001B1D95"/>
    <w:rsid w:val="001C1967"/>
    <w:rsid w:val="001D0337"/>
    <w:rsid w:val="002040BB"/>
    <w:rsid w:val="002174FD"/>
    <w:rsid w:val="002313D1"/>
    <w:rsid w:val="00245339"/>
    <w:rsid w:val="00267B7F"/>
    <w:rsid w:val="0027027F"/>
    <w:rsid w:val="00270755"/>
    <w:rsid w:val="00273257"/>
    <w:rsid w:val="00295106"/>
    <w:rsid w:val="002E4F81"/>
    <w:rsid w:val="00317D59"/>
    <w:rsid w:val="00320916"/>
    <w:rsid w:val="00331843"/>
    <w:rsid w:val="00344BB4"/>
    <w:rsid w:val="00355EB8"/>
    <w:rsid w:val="0037547E"/>
    <w:rsid w:val="003A5517"/>
    <w:rsid w:val="00415B07"/>
    <w:rsid w:val="004815F3"/>
    <w:rsid w:val="00482303"/>
    <w:rsid w:val="004C5EA0"/>
    <w:rsid w:val="004E7585"/>
    <w:rsid w:val="004F7F7C"/>
    <w:rsid w:val="00552DF0"/>
    <w:rsid w:val="005601CF"/>
    <w:rsid w:val="00583FC6"/>
    <w:rsid w:val="005A4EA2"/>
    <w:rsid w:val="005B062A"/>
    <w:rsid w:val="005D2756"/>
    <w:rsid w:val="005F5F02"/>
    <w:rsid w:val="005F7019"/>
    <w:rsid w:val="00615611"/>
    <w:rsid w:val="00622C14"/>
    <w:rsid w:val="00624B21"/>
    <w:rsid w:val="0065073A"/>
    <w:rsid w:val="006552B4"/>
    <w:rsid w:val="00663E15"/>
    <w:rsid w:val="0066569F"/>
    <w:rsid w:val="0068142A"/>
    <w:rsid w:val="006C06D3"/>
    <w:rsid w:val="006D4D81"/>
    <w:rsid w:val="006D6235"/>
    <w:rsid w:val="006D7075"/>
    <w:rsid w:val="006F531F"/>
    <w:rsid w:val="00700AF2"/>
    <w:rsid w:val="00712622"/>
    <w:rsid w:val="0073541B"/>
    <w:rsid w:val="00737465"/>
    <w:rsid w:val="00784132"/>
    <w:rsid w:val="007873BF"/>
    <w:rsid w:val="007C5058"/>
    <w:rsid w:val="007D1A28"/>
    <w:rsid w:val="007F5A3B"/>
    <w:rsid w:val="0082085F"/>
    <w:rsid w:val="00826A58"/>
    <w:rsid w:val="008354E8"/>
    <w:rsid w:val="00852A04"/>
    <w:rsid w:val="008A593C"/>
    <w:rsid w:val="008C74FD"/>
    <w:rsid w:val="0091254E"/>
    <w:rsid w:val="009174F8"/>
    <w:rsid w:val="009521A7"/>
    <w:rsid w:val="00954DF7"/>
    <w:rsid w:val="00954F05"/>
    <w:rsid w:val="00970902"/>
    <w:rsid w:val="0097171D"/>
    <w:rsid w:val="0097616E"/>
    <w:rsid w:val="009879B5"/>
    <w:rsid w:val="009903D7"/>
    <w:rsid w:val="009E41A0"/>
    <w:rsid w:val="009F4478"/>
    <w:rsid w:val="00A06205"/>
    <w:rsid w:val="00A110E0"/>
    <w:rsid w:val="00A15DC1"/>
    <w:rsid w:val="00A42D78"/>
    <w:rsid w:val="00A435D7"/>
    <w:rsid w:val="00A53D88"/>
    <w:rsid w:val="00A74A09"/>
    <w:rsid w:val="00AA4C63"/>
    <w:rsid w:val="00AD03F3"/>
    <w:rsid w:val="00B3318D"/>
    <w:rsid w:val="00B40E17"/>
    <w:rsid w:val="00B42697"/>
    <w:rsid w:val="00B57D1A"/>
    <w:rsid w:val="00B6499D"/>
    <w:rsid w:val="00B83087"/>
    <w:rsid w:val="00BA7C58"/>
    <w:rsid w:val="00BD3ACA"/>
    <w:rsid w:val="00BE33ED"/>
    <w:rsid w:val="00BF25FC"/>
    <w:rsid w:val="00CE4647"/>
    <w:rsid w:val="00D02D02"/>
    <w:rsid w:val="00D53963"/>
    <w:rsid w:val="00D66D5C"/>
    <w:rsid w:val="00DB1E1D"/>
    <w:rsid w:val="00DC7734"/>
    <w:rsid w:val="00DF5EC8"/>
    <w:rsid w:val="00E13043"/>
    <w:rsid w:val="00E210E6"/>
    <w:rsid w:val="00E36BAF"/>
    <w:rsid w:val="00E63F23"/>
    <w:rsid w:val="00E875E6"/>
    <w:rsid w:val="00EC539F"/>
    <w:rsid w:val="00EC72F1"/>
    <w:rsid w:val="00ED4A84"/>
    <w:rsid w:val="00F3208B"/>
    <w:rsid w:val="00F33034"/>
    <w:rsid w:val="00F377EF"/>
    <w:rsid w:val="00F44BBB"/>
    <w:rsid w:val="00F762D4"/>
    <w:rsid w:val="00F76B8F"/>
    <w:rsid w:val="00F8201A"/>
    <w:rsid w:val="00F8707B"/>
    <w:rsid w:val="00F97494"/>
    <w:rsid w:val="00FA0239"/>
    <w:rsid w:val="00FB0CBA"/>
    <w:rsid w:val="00FC2B1C"/>
    <w:rsid w:val="00FD36F3"/>
    <w:rsid w:val="00FF2E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2AF98A1"/>
  <w15:docId w15:val="{C9C1F462-B92F-479F-9E56-8F9F3949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272"/>
    <w:pPr>
      <w:tabs>
        <w:tab w:val="left" w:pos="576"/>
        <w:tab w:val="left" w:pos="1152"/>
        <w:tab w:val="left" w:pos="1728"/>
        <w:tab w:val="left" w:pos="5760"/>
        <w:tab w:val="right" w:pos="7877"/>
      </w:tabs>
      <w:spacing w:after="240"/>
    </w:pPr>
    <w:rPr>
      <w:sz w:val="24"/>
      <w:szCs w:val="24"/>
      <w:lang w:eastAsia="en-US"/>
    </w:rPr>
  </w:style>
  <w:style w:type="paragraph" w:styleId="Heading1">
    <w:name w:val="heading 1"/>
    <w:basedOn w:val="Normal"/>
    <w:next w:val="Normal"/>
    <w:qFormat/>
    <w:rsid w:val="00117272"/>
    <w:pPr>
      <w:keepNext/>
      <w:spacing w:before="360" w:after="120"/>
      <w:outlineLvl w:val="0"/>
    </w:pPr>
    <w:rPr>
      <w:rFonts w:cs="Arial"/>
      <w:b/>
      <w:bCs/>
      <w:caps/>
      <w:kern w:val="32"/>
      <w:szCs w:val="32"/>
    </w:rPr>
  </w:style>
  <w:style w:type="paragraph" w:styleId="Heading2">
    <w:name w:val="heading 2"/>
    <w:basedOn w:val="Normal"/>
    <w:next w:val="Normal"/>
    <w:qFormat/>
    <w:rsid w:val="00117272"/>
    <w:pPr>
      <w:keepNext/>
      <w:numPr>
        <w:ilvl w:val="1"/>
        <w:numId w:val="20"/>
      </w:numPr>
      <w:spacing w:before="240" w:after="120"/>
      <w:outlineLvl w:val="1"/>
    </w:pPr>
    <w:rPr>
      <w:rFonts w:cs="Arial"/>
      <w:b/>
      <w:bCs/>
      <w:iCs/>
      <w:szCs w:val="28"/>
    </w:rPr>
  </w:style>
  <w:style w:type="paragraph" w:styleId="Heading3">
    <w:name w:val="heading 3"/>
    <w:basedOn w:val="Normal"/>
    <w:next w:val="Normal"/>
    <w:qFormat/>
    <w:rsid w:val="00117272"/>
    <w:pPr>
      <w:keepNext/>
      <w:numPr>
        <w:ilvl w:val="2"/>
        <w:numId w:val="20"/>
      </w:numPr>
      <w:spacing w:before="240" w:after="120"/>
      <w:outlineLvl w:val="2"/>
    </w:pPr>
    <w:rPr>
      <w:rFonts w:cs="Arial"/>
      <w:bCs/>
      <w:i/>
      <w:szCs w:val="26"/>
    </w:rPr>
  </w:style>
  <w:style w:type="paragraph" w:styleId="Heading4">
    <w:name w:val="heading 4"/>
    <w:basedOn w:val="Normal"/>
    <w:next w:val="Normal"/>
    <w:qFormat/>
    <w:rsid w:val="00117272"/>
    <w:pPr>
      <w:keepNext/>
      <w:numPr>
        <w:ilvl w:val="3"/>
        <w:numId w:val="20"/>
      </w:numPr>
      <w:spacing w:before="240" w:after="60"/>
      <w:outlineLvl w:val="3"/>
    </w:pPr>
    <w:rPr>
      <w:b/>
      <w:bCs/>
      <w:sz w:val="28"/>
      <w:szCs w:val="28"/>
    </w:rPr>
  </w:style>
  <w:style w:type="paragraph" w:styleId="Heading5">
    <w:name w:val="heading 5"/>
    <w:basedOn w:val="Normal"/>
    <w:next w:val="Normal"/>
    <w:qFormat/>
    <w:rsid w:val="00117272"/>
    <w:pPr>
      <w:numPr>
        <w:ilvl w:val="4"/>
        <w:numId w:val="20"/>
      </w:numPr>
      <w:spacing w:before="240" w:after="60"/>
      <w:outlineLvl w:val="4"/>
    </w:pPr>
    <w:rPr>
      <w:b/>
      <w:bCs/>
      <w:i/>
      <w:iCs/>
      <w:sz w:val="26"/>
      <w:szCs w:val="26"/>
    </w:rPr>
  </w:style>
  <w:style w:type="paragraph" w:styleId="Heading6">
    <w:name w:val="heading 6"/>
    <w:basedOn w:val="Normal"/>
    <w:next w:val="Normal"/>
    <w:qFormat/>
    <w:rsid w:val="00117272"/>
    <w:pPr>
      <w:numPr>
        <w:ilvl w:val="5"/>
        <w:numId w:val="20"/>
      </w:numPr>
      <w:spacing w:before="240" w:after="60"/>
      <w:outlineLvl w:val="5"/>
    </w:pPr>
    <w:rPr>
      <w:b/>
      <w:bCs/>
      <w:sz w:val="22"/>
      <w:szCs w:val="22"/>
    </w:rPr>
  </w:style>
  <w:style w:type="paragraph" w:styleId="Heading7">
    <w:name w:val="heading 7"/>
    <w:basedOn w:val="Normal"/>
    <w:next w:val="Normal"/>
    <w:qFormat/>
    <w:rsid w:val="00117272"/>
    <w:pPr>
      <w:numPr>
        <w:ilvl w:val="6"/>
        <w:numId w:val="20"/>
      </w:numPr>
      <w:spacing w:before="240" w:after="60"/>
      <w:outlineLvl w:val="6"/>
    </w:pPr>
  </w:style>
  <w:style w:type="paragraph" w:styleId="Heading8">
    <w:name w:val="heading 8"/>
    <w:basedOn w:val="Normal"/>
    <w:next w:val="Normal"/>
    <w:qFormat/>
    <w:rsid w:val="00117272"/>
    <w:pPr>
      <w:numPr>
        <w:ilvl w:val="7"/>
        <w:numId w:val="20"/>
      </w:numPr>
      <w:spacing w:before="240" w:after="60"/>
      <w:outlineLvl w:val="7"/>
    </w:pPr>
    <w:rPr>
      <w:i/>
      <w:iCs/>
    </w:rPr>
  </w:style>
  <w:style w:type="paragraph" w:styleId="Heading9">
    <w:name w:val="heading 9"/>
    <w:basedOn w:val="Normal"/>
    <w:next w:val="Normal"/>
    <w:qFormat/>
    <w:rsid w:val="00117272"/>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rsid w:val="00117272"/>
  </w:style>
  <w:style w:type="paragraph" w:customStyle="1" w:styleId="Hidden">
    <w:name w:val="Hidden"/>
    <w:basedOn w:val="Normal"/>
    <w:rsid w:val="00117272"/>
    <w:pPr>
      <w:widowControl w:val="0"/>
      <w:pBdr>
        <w:left w:val="double" w:sz="4" w:space="4" w:color="auto"/>
        <w:bottom w:val="double" w:sz="4" w:space="1" w:color="auto"/>
        <w:right w:val="double" w:sz="4" w:space="4" w:color="auto"/>
      </w:pBdr>
      <w:shd w:val="clear" w:color="auto" w:fill="FFFFFF"/>
      <w:tabs>
        <w:tab w:val="clear" w:pos="7877"/>
        <w:tab w:val="right" w:pos="9029"/>
      </w:tabs>
      <w:suppressAutoHyphens/>
      <w:autoSpaceDE w:val="0"/>
      <w:autoSpaceDN w:val="0"/>
      <w:adjustRightInd w:val="0"/>
      <w:spacing w:after="0"/>
    </w:pPr>
    <w:rPr>
      <w:i/>
      <w:vanish/>
      <w:color w:val="0000FF"/>
    </w:rPr>
  </w:style>
  <w:style w:type="paragraph" w:styleId="Header">
    <w:name w:val="header"/>
    <w:basedOn w:val="Normal"/>
    <w:link w:val="HeaderChar"/>
    <w:uiPriority w:val="99"/>
    <w:rsid w:val="00117272"/>
    <w:pPr>
      <w:tabs>
        <w:tab w:val="clear" w:pos="576"/>
        <w:tab w:val="clear" w:pos="1152"/>
        <w:tab w:val="clear" w:pos="1728"/>
        <w:tab w:val="clear" w:pos="5760"/>
        <w:tab w:val="clear" w:pos="7877"/>
      </w:tabs>
      <w:spacing w:after="480"/>
      <w:jc w:val="center"/>
    </w:pPr>
  </w:style>
  <w:style w:type="paragraph" w:styleId="Footer">
    <w:name w:val="footer"/>
    <w:basedOn w:val="Normal"/>
    <w:semiHidden/>
    <w:rsid w:val="00117272"/>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rsid w:val="00117272"/>
  </w:style>
  <w:style w:type="paragraph" w:styleId="FootnoteText">
    <w:name w:val="footnote text"/>
    <w:basedOn w:val="Normal"/>
    <w:semiHidden/>
    <w:rsid w:val="00117272"/>
    <w:pPr>
      <w:spacing w:after="80" w:line="200" w:lineRule="exact"/>
      <w:ind w:firstLine="288"/>
    </w:pPr>
    <w:rPr>
      <w:sz w:val="19"/>
      <w:szCs w:val="20"/>
    </w:rPr>
  </w:style>
  <w:style w:type="character" w:styleId="FootnoteReference">
    <w:name w:val="footnote reference"/>
    <w:basedOn w:val="DefaultParagraphFont"/>
    <w:semiHidden/>
    <w:rsid w:val="00117272"/>
    <w:rPr>
      <w:vertAlign w:val="superscript"/>
    </w:rPr>
  </w:style>
  <w:style w:type="paragraph" w:styleId="NoteHeading">
    <w:name w:val="Note Heading"/>
    <w:basedOn w:val="Normal"/>
    <w:next w:val="Normal"/>
    <w:semiHidden/>
    <w:rsid w:val="00117272"/>
    <w:pPr>
      <w:numPr>
        <w:numId w:val="21"/>
      </w:numPr>
    </w:pPr>
    <w:rPr>
      <w:color w:val="FF0000"/>
    </w:rPr>
  </w:style>
  <w:style w:type="paragraph" w:styleId="Title">
    <w:name w:val="Title"/>
    <w:basedOn w:val="Normal"/>
    <w:next w:val="Normal"/>
    <w:qFormat/>
    <w:rsid w:val="00117272"/>
    <w:pPr>
      <w:jc w:val="center"/>
      <w:outlineLvl w:val="0"/>
    </w:pPr>
    <w:rPr>
      <w:rFonts w:cs="Arial"/>
      <w:b/>
      <w:bCs/>
      <w:kern w:val="28"/>
      <w:szCs w:val="32"/>
    </w:rPr>
  </w:style>
  <w:style w:type="paragraph" w:customStyle="1" w:styleId="FootnoteSeparator">
    <w:name w:val="Footnote Separator"/>
    <w:basedOn w:val="FootnoteText"/>
    <w:rsid w:val="00117272"/>
    <w:pPr>
      <w:tabs>
        <w:tab w:val="clear" w:pos="7877"/>
        <w:tab w:val="right" w:pos="9029"/>
      </w:tabs>
      <w:spacing w:after="0" w:line="240" w:lineRule="auto"/>
      <w:ind w:firstLine="0"/>
    </w:pPr>
  </w:style>
  <w:style w:type="paragraph" w:styleId="Signature">
    <w:name w:val="Signature"/>
    <w:basedOn w:val="Normal"/>
    <w:semiHidden/>
    <w:rsid w:val="00117272"/>
    <w:pPr>
      <w:spacing w:after="0"/>
      <w:ind w:left="3888"/>
    </w:pPr>
  </w:style>
  <w:style w:type="paragraph" w:styleId="Salutation">
    <w:name w:val="Salutation"/>
    <w:basedOn w:val="Normal"/>
    <w:next w:val="Normal"/>
    <w:semiHidden/>
    <w:rsid w:val="00117272"/>
    <w:pPr>
      <w:spacing w:before="240"/>
    </w:pPr>
  </w:style>
  <w:style w:type="paragraph" w:styleId="EnvelopeAddress">
    <w:name w:val="envelope address"/>
    <w:basedOn w:val="Normal"/>
    <w:semiHidden/>
    <w:rsid w:val="00117272"/>
    <w:pPr>
      <w:framePr w:w="7920" w:h="1980" w:hRule="exact" w:hSpace="180" w:wrap="auto" w:hAnchor="page" w:xAlign="center" w:yAlign="bottom"/>
      <w:tabs>
        <w:tab w:val="clear" w:pos="7877"/>
        <w:tab w:val="right" w:pos="9029"/>
      </w:tabs>
      <w:spacing w:after="0"/>
      <w:ind w:left="2880"/>
    </w:pPr>
    <w:rPr>
      <w:rFonts w:cs="Arial"/>
    </w:rPr>
  </w:style>
  <w:style w:type="paragraph" w:customStyle="1" w:styleId="LetterAddress">
    <w:name w:val="Letter Address"/>
    <w:basedOn w:val="Normal"/>
    <w:next w:val="Normal"/>
    <w:rsid w:val="00117272"/>
    <w:pPr>
      <w:spacing w:after="280"/>
    </w:pPr>
    <w:rPr>
      <w:sz w:val="22"/>
      <w:szCs w:val="22"/>
    </w:rPr>
  </w:style>
  <w:style w:type="paragraph" w:customStyle="1" w:styleId="LetterFrom">
    <w:name w:val="Letter From"/>
    <w:basedOn w:val="Normal"/>
    <w:next w:val="Normal"/>
    <w:rsid w:val="00117272"/>
    <w:pPr>
      <w:spacing w:after="840"/>
    </w:pPr>
    <w:rPr>
      <w:sz w:val="22"/>
      <w:szCs w:val="22"/>
    </w:rPr>
  </w:style>
  <w:style w:type="paragraph" w:customStyle="1" w:styleId="LetterFooter">
    <w:name w:val="Letter Footer"/>
    <w:basedOn w:val="Footer"/>
    <w:rsid w:val="00117272"/>
    <w:rPr>
      <w:sz w:val="18"/>
    </w:rPr>
  </w:style>
  <w:style w:type="paragraph" w:customStyle="1" w:styleId="Address">
    <w:name w:val="Address"/>
    <w:basedOn w:val="Normal"/>
    <w:rsid w:val="00117272"/>
    <w:pPr>
      <w:tabs>
        <w:tab w:val="clear" w:pos="7877"/>
        <w:tab w:val="right" w:pos="9029"/>
      </w:tabs>
      <w:spacing w:after="0"/>
      <w:ind w:left="144" w:hanging="144"/>
    </w:pPr>
  </w:style>
  <w:style w:type="paragraph" w:styleId="EnvelopeReturn">
    <w:name w:val="envelope return"/>
    <w:basedOn w:val="Normal"/>
    <w:semiHidden/>
    <w:rsid w:val="00117272"/>
    <w:pPr>
      <w:tabs>
        <w:tab w:val="clear" w:pos="7877"/>
        <w:tab w:val="right" w:pos="9029"/>
      </w:tabs>
      <w:spacing w:after="0"/>
    </w:pPr>
    <w:rPr>
      <w:rFonts w:cs="Arial"/>
      <w:sz w:val="20"/>
      <w:szCs w:val="20"/>
    </w:rPr>
  </w:style>
  <w:style w:type="paragraph" w:customStyle="1" w:styleId="CircularRef">
    <w:name w:val="CircularRef"/>
    <w:basedOn w:val="Normal"/>
    <w:next w:val="Normal"/>
    <w:rsid w:val="00117272"/>
    <w:pPr>
      <w:tabs>
        <w:tab w:val="clear" w:pos="576"/>
        <w:tab w:val="clear" w:pos="1152"/>
        <w:tab w:val="clear" w:pos="1728"/>
        <w:tab w:val="clear" w:pos="5760"/>
      </w:tabs>
      <w:spacing w:after="480"/>
    </w:pPr>
  </w:style>
  <w:style w:type="paragraph" w:customStyle="1" w:styleId="CircularName">
    <w:name w:val="CircularName"/>
    <w:basedOn w:val="Signature"/>
    <w:rsid w:val="00117272"/>
    <w:pPr>
      <w:spacing w:before="480"/>
    </w:pPr>
    <w:rPr>
      <w:caps/>
      <w:sz w:val="20"/>
    </w:rPr>
  </w:style>
  <w:style w:type="paragraph" w:customStyle="1" w:styleId="CircularTo">
    <w:name w:val="CircularTo"/>
    <w:basedOn w:val="Normal"/>
    <w:next w:val="Normal"/>
    <w:rsid w:val="00117272"/>
  </w:style>
  <w:style w:type="paragraph" w:styleId="NormalWeb">
    <w:name w:val="Normal (Web)"/>
    <w:basedOn w:val="Normal"/>
    <w:semiHidden/>
    <w:rsid w:val="00117272"/>
    <w:pPr>
      <w:tabs>
        <w:tab w:val="clear" w:pos="576"/>
        <w:tab w:val="clear" w:pos="1152"/>
        <w:tab w:val="clear" w:pos="1728"/>
        <w:tab w:val="clear" w:pos="5760"/>
        <w:tab w:val="clear" w:pos="7877"/>
      </w:tabs>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sid w:val="00117272"/>
    <w:rPr>
      <w:color w:val="0000FF"/>
      <w:u w:val="single"/>
    </w:rPr>
  </w:style>
  <w:style w:type="character" w:styleId="FollowedHyperlink">
    <w:name w:val="FollowedHyperlink"/>
    <w:basedOn w:val="DefaultParagraphFont"/>
    <w:semiHidden/>
    <w:rsid w:val="00117272"/>
    <w:rPr>
      <w:color w:val="800080"/>
      <w:u w:val="single"/>
    </w:rPr>
  </w:style>
  <w:style w:type="paragraph" w:styleId="ListBullet">
    <w:name w:val="List Bullet"/>
    <w:basedOn w:val="Normal"/>
    <w:semiHidden/>
    <w:rsid w:val="00117272"/>
    <w:pPr>
      <w:numPr>
        <w:numId w:val="37"/>
      </w:numPr>
    </w:pPr>
  </w:style>
  <w:style w:type="paragraph" w:styleId="ListContinue">
    <w:name w:val="List Continue"/>
    <w:basedOn w:val="Normal"/>
    <w:semiHidden/>
    <w:rsid w:val="00117272"/>
    <w:pPr>
      <w:numPr>
        <w:ilvl w:val="1"/>
        <w:numId w:val="37"/>
      </w:numPr>
    </w:pPr>
  </w:style>
  <w:style w:type="paragraph" w:styleId="ListBullet2">
    <w:name w:val="List Bullet 2"/>
    <w:basedOn w:val="Normal"/>
    <w:semiHidden/>
    <w:rsid w:val="00117272"/>
    <w:pPr>
      <w:numPr>
        <w:ilvl w:val="2"/>
        <w:numId w:val="37"/>
      </w:numPr>
    </w:pPr>
  </w:style>
  <w:style w:type="paragraph" w:styleId="ListContinue2">
    <w:name w:val="List Continue 2"/>
    <w:basedOn w:val="Normal"/>
    <w:semiHidden/>
    <w:rsid w:val="00117272"/>
    <w:pPr>
      <w:numPr>
        <w:ilvl w:val="3"/>
        <w:numId w:val="37"/>
      </w:numPr>
    </w:pPr>
  </w:style>
  <w:style w:type="paragraph" w:styleId="BalloonText">
    <w:name w:val="Balloon Text"/>
    <w:basedOn w:val="Normal"/>
    <w:link w:val="BalloonTextChar"/>
    <w:uiPriority w:val="99"/>
    <w:semiHidden/>
    <w:unhideWhenUsed/>
    <w:rsid w:val="005F70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019"/>
    <w:rPr>
      <w:rFonts w:ascii="Tahoma" w:hAnsi="Tahoma" w:cs="Tahoma"/>
      <w:sz w:val="16"/>
      <w:szCs w:val="16"/>
      <w:lang w:eastAsia="en-US"/>
    </w:rPr>
  </w:style>
  <w:style w:type="paragraph" w:styleId="ListParagraph">
    <w:name w:val="List Paragraph"/>
    <w:basedOn w:val="Normal"/>
    <w:uiPriority w:val="34"/>
    <w:qFormat/>
    <w:rsid w:val="001318D3"/>
    <w:pPr>
      <w:ind w:left="720"/>
      <w:contextualSpacing/>
    </w:pPr>
  </w:style>
  <w:style w:type="character" w:customStyle="1" w:styleId="HeaderChar">
    <w:name w:val="Header Char"/>
    <w:basedOn w:val="DefaultParagraphFont"/>
    <w:link w:val="Header"/>
    <w:uiPriority w:val="99"/>
    <w:rsid w:val="004815F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finance.admin.ox.ac.uk/departmental-expenses-guidance" TargetMode="External"/><Relationship Id="rId18" Type="http://schemas.openxmlformats.org/officeDocument/2006/relationships/hyperlink" Target="https://finance.admin.ox.ac.uk/accommodation-and-subsistance-expenses-departmental-guidance" TargetMode="External"/><Relationship Id="rId26" Type="http://schemas.openxmlformats.org/officeDocument/2006/relationships/hyperlink" Target="https://finance.admin.ox.ac.uk/miscellaneous-expenses-departmental-guidance" TargetMode="External"/><Relationship Id="rId3" Type="http://schemas.openxmlformats.org/officeDocument/2006/relationships/settings" Target="settings.xml"/><Relationship Id="rId21" Type="http://schemas.openxmlformats.org/officeDocument/2006/relationships/hyperlink" Target="https://finance.admin.ox.ac.uk/relocation-scheme" TargetMode="External"/><Relationship Id="rId7" Type="http://schemas.openxmlformats.org/officeDocument/2006/relationships/image" Target="media/image1.png"/><Relationship Id="rId12" Type="http://schemas.openxmlformats.org/officeDocument/2006/relationships/hyperlink" Target="https://finance.admin.ox.ac.uk/departmental-expenses-guidance" TargetMode="External"/><Relationship Id="rId17" Type="http://schemas.openxmlformats.org/officeDocument/2006/relationships/hyperlink" Target="https://finance.admin.ox.ac.uk/miscellaneous-expenses-departmental-guidance" TargetMode="External"/><Relationship Id="rId25" Type="http://schemas.openxmlformats.org/officeDocument/2006/relationships/hyperlink" Target="http://www.admin.ox.ac.uk/finance/epp/expenses/guide/52awardstostaf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nance.admin.ox.ac.uk/hospitality-and-entertaining-expenses-departmental-guidance" TargetMode="External"/><Relationship Id="rId20" Type="http://schemas.openxmlformats.org/officeDocument/2006/relationships/hyperlink" Target="http://www.admin.ox.ac.uk/finance/expenses/relocationschem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ox.ac.uk/finance/processes/forms/payroll/%23d.en.15382" TargetMode="External"/><Relationship Id="rId24" Type="http://schemas.openxmlformats.org/officeDocument/2006/relationships/hyperlink" Target="https://finance.admin.ox.ac.uk/miscellaneous-expenses-departmental-guidanc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inance.admin.ox.ac.uk/travel-expenses-departmental-guidance" TargetMode="External"/><Relationship Id="rId23" Type="http://schemas.openxmlformats.org/officeDocument/2006/relationships/hyperlink" Target="https://finance.admin.ox.ac.uk/miscellaneous-expenses-departmental-guidance" TargetMode="External"/><Relationship Id="rId28" Type="http://schemas.openxmlformats.org/officeDocument/2006/relationships/hyperlink" Target="mailto:P11D@admin.ox.ac.uk" TargetMode="External"/><Relationship Id="rId10" Type="http://schemas.openxmlformats.org/officeDocument/2006/relationships/hyperlink" Target="mailto:magda.koczan@admin.ox.ac.uk" TargetMode="External"/><Relationship Id="rId19" Type="http://schemas.openxmlformats.org/officeDocument/2006/relationships/hyperlink" Target="mailto:relocationofficer@admin.ox.ac.uk"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11D@admin.ox.ac.uk" TargetMode="External"/><Relationship Id="rId14" Type="http://schemas.openxmlformats.org/officeDocument/2006/relationships/hyperlink" Target="https://finance.admin.ox.ac.uk/travel-expenses-departmental-guidance" TargetMode="External"/><Relationship Id="rId22" Type="http://schemas.openxmlformats.org/officeDocument/2006/relationships/hyperlink" Target="http://www.hmrc.gov.uk/list3/index.htm" TargetMode="External"/><Relationship Id="rId27" Type="http://schemas.openxmlformats.org/officeDocument/2006/relationships/hyperlink" Target="https://finance.admin.ox.ac.uk/hospitality-and-entertaining-expenses-departmental-guidanc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3097</Words>
  <Characters>18374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University of Oxford</vt:lpstr>
    </vt:vector>
  </TitlesOfParts>
  <Manager>JAC</Manager>
  <Company>University of Oxford</Company>
  <LinksUpToDate>false</LinksUpToDate>
  <CharactersWithSpaces>21429</CharactersWithSpaces>
  <SharedDoc>false</SharedDoc>
  <HLinks>
    <vt:vector size="60" baseType="variant">
      <vt:variant>
        <vt:i4>3145824</vt:i4>
      </vt:variant>
      <vt:variant>
        <vt:i4>27</vt:i4>
      </vt:variant>
      <vt:variant>
        <vt:i4>0</vt:i4>
      </vt:variant>
      <vt:variant>
        <vt:i4>5</vt:i4>
      </vt:variant>
      <vt:variant>
        <vt:lpwstr>http://www.hmrc.gov.uk/list3/list3.htm</vt:lpwstr>
      </vt:variant>
      <vt:variant>
        <vt:lpwstr/>
      </vt:variant>
      <vt:variant>
        <vt:i4>5701650</vt:i4>
      </vt:variant>
      <vt:variant>
        <vt:i4>24</vt:i4>
      </vt:variant>
      <vt:variant>
        <vt:i4>0</vt:i4>
      </vt:variant>
      <vt:variant>
        <vt:i4>5</vt:i4>
      </vt:variant>
      <vt:variant>
        <vt:lpwstr>http://www.admin.ox.ac.uk/finance/expenses/relocationscheme/</vt:lpwstr>
      </vt:variant>
      <vt:variant>
        <vt:lpwstr/>
      </vt:variant>
      <vt:variant>
        <vt:i4>5505039</vt:i4>
      </vt:variant>
      <vt:variant>
        <vt:i4>21</vt:i4>
      </vt:variant>
      <vt:variant>
        <vt:i4>0</vt:i4>
      </vt:variant>
      <vt:variant>
        <vt:i4>5</vt:i4>
      </vt:variant>
      <vt:variant>
        <vt:lpwstr>http://www.admin.ox.ac.uk/finance/expenses/guide/12accommodation/</vt:lpwstr>
      </vt:variant>
      <vt:variant>
        <vt:lpwstr/>
      </vt:variant>
      <vt:variant>
        <vt:i4>6422564</vt:i4>
      </vt:variant>
      <vt:variant>
        <vt:i4>18</vt:i4>
      </vt:variant>
      <vt:variant>
        <vt:i4>0</vt:i4>
      </vt:variant>
      <vt:variant>
        <vt:i4>5</vt:i4>
      </vt:variant>
      <vt:variant>
        <vt:lpwstr>http://www.admin.ox.ac.uk/finance/expenses/guide/stafftraining/</vt:lpwstr>
      </vt:variant>
      <vt:variant>
        <vt:lpwstr/>
      </vt:variant>
      <vt:variant>
        <vt:i4>8126569</vt:i4>
      </vt:variant>
      <vt:variant>
        <vt:i4>15</vt:i4>
      </vt:variant>
      <vt:variant>
        <vt:i4>0</vt:i4>
      </vt:variant>
      <vt:variant>
        <vt:i4>5</vt:i4>
      </vt:variant>
      <vt:variant>
        <vt:lpwstr>http://www.admin.ox.ac.uk/finance/expenses/guide/114non-businessandsocialentertaining/</vt:lpwstr>
      </vt:variant>
      <vt:variant>
        <vt:lpwstr/>
      </vt:variant>
      <vt:variant>
        <vt:i4>2752630</vt:i4>
      </vt:variant>
      <vt:variant>
        <vt:i4>12</vt:i4>
      </vt:variant>
      <vt:variant>
        <vt:i4>0</vt:i4>
      </vt:variant>
      <vt:variant>
        <vt:i4>5</vt:i4>
      </vt:variant>
      <vt:variant>
        <vt:lpwstr>http://www.admin.ox.ac.uk/finance/expenses/guide/74privateandhiredvehicles/</vt:lpwstr>
      </vt:variant>
      <vt:variant>
        <vt:lpwstr/>
      </vt:variant>
      <vt:variant>
        <vt:i4>8192121</vt:i4>
      </vt:variant>
      <vt:variant>
        <vt:i4>9</vt:i4>
      </vt:variant>
      <vt:variant>
        <vt:i4>0</vt:i4>
      </vt:variant>
      <vt:variant>
        <vt:i4>5</vt:i4>
      </vt:variant>
      <vt:variant>
        <vt:lpwstr>http://www.admin.ox.ac.uk/finance/expenses/guide/73universityvehicles/</vt:lpwstr>
      </vt:variant>
      <vt:variant>
        <vt:lpwstr/>
      </vt:variant>
      <vt:variant>
        <vt:i4>7667750</vt:i4>
      </vt:variant>
      <vt:variant>
        <vt:i4>6</vt:i4>
      </vt:variant>
      <vt:variant>
        <vt:i4>0</vt:i4>
      </vt:variant>
      <vt:variant>
        <vt:i4>5</vt:i4>
      </vt:variant>
      <vt:variant>
        <vt:lpwstr>http://www.admin.ox.ac.uk/finance/expenses/guide/9communicationsandit/</vt:lpwstr>
      </vt:variant>
      <vt:variant>
        <vt:lpwstr/>
      </vt:variant>
      <vt:variant>
        <vt:i4>7012416</vt:i4>
      </vt:variant>
      <vt:variant>
        <vt:i4>3</vt:i4>
      </vt:variant>
      <vt:variant>
        <vt:i4>0</vt:i4>
      </vt:variant>
      <vt:variant>
        <vt:i4>5</vt:i4>
      </vt:variant>
      <vt:variant>
        <vt:lpwstr>C:\Documents and Settings\Vjd\Local Settings\Local Settings\Temporary Internet Files\Content.Outlook\GTXY1VZ9\Charles.Morgan@admin.ox.ac.uk</vt:lpwstr>
      </vt:variant>
      <vt:variant>
        <vt:lpwstr/>
      </vt:variant>
      <vt:variant>
        <vt:i4>786549</vt:i4>
      </vt:variant>
      <vt:variant>
        <vt:i4>0</vt:i4>
      </vt:variant>
      <vt:variant>
        <vt:i4>0</vt:i4>
      </vt:variant>
      <vt:variant>
        <vt:i4>5</vt:i4>
      </vt:variant>
      <vt:variant>
        <vt:lpwstr>D:\TEMP\Valerie.Drew@admin.ox.ac.uk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Charles Morgan</dc:creator>
  <cp:lastModifiedBy>Charles Morgan</cp:lastModifiedBy>
  <cp:revision>5</cp:revision>
  <cp:lastPrinted>2015-03-16T12:11:00Z</cp:lastPrinted>
  <dcterms:created xsi:type="dcterms:W3CDTF">2021-03-15T17:48:00Z</dcterms:created>
  <dcterms:modified xsi:type="dcterms:W3CDTF">2021-03-29T15:07:00Z</dcterms:modified>
</cp:coreProperties>
</file>